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CE91A" w14:textId="77777777" w:rsidR="00200453" w:rsidRDefault="00200453" w:rsidP="00200453">
      <w:pPr>
        <w:jc w:val="center"/>
        <w:rPr>
          <w:b/>
          <w:bCs/>
          <w:u w:val="single"/>
        </w:rPr>
      </w:pPr>
      <w:bookmarkStart w:id="0" w:name="_GoBack"/>
      <w:bookmarkEnd w:id="0"/>
      <w:r w:rsidRPr="00200453">
        <w:rPr>
          <w:b/>
          <w:bCs/>
          <w:u w:val="single"/>
        </w:rPr>
        <w:t>Overview of energy situation across EU and member States</w:t>
      </w:r>
    </w:p>
    <w:p w14:paraId="1EA73E39" w14:textId="77777777" w:rsidR="00200453" w:rsidRDefault="00200453" w:rsidP="00200453">
      <w:pPr>
        <w:jc w:val="center"/>
        <w:rPr>
          <w:b/>
          <w:bCs/>
          <w:u w:val="single"/>
        </w:rPr>
      </w:pPr>
    </w:p>
    <w:tbl>
      <w:tblPr>
        <w:tblStyle w:val="Mkatabulky"/>
        <w:tblW w:w="0" w:type="auto"/>
        <w:tblLook w:val="04A0" w:firstRow="1" w:lastRow="0" w:firstColumn="1" w:lastColumn="0" w:noHBand="0" w:noVBand="1"/>
      </w:tblPr>
      <w:tblGrid>
        <w:gridCol w:w="2263"/>
        <w:gridCol w:w="3686"/>
        <w:gridCol w:w="4111"/>
        <w:gridCol w:w="3888"/>
      </w:tblGrid>
      <w:tr w:rsidR="00200453" w14:paraId="6DEB4B4D" w14:textId="77777777" w:rsidTr="00200453">
        <w:tc>
          <w:tcPr>
            <w:tcW w:w="2263" w:type="dxa"/>
          </w:tcPr>
          <w:p w14:paraId="110AD7E5" w14:textId="77777777" w:rsidR="00200453" w:rsidRPr="00200453" w:rsidRDefault="00200453" w:rsidP="00200453">
            <w:pPr>
              <w:jc w:val="both"/>
              <w:rPr>
                <w:b/>
                <w:bCs/>
              </w:rPr>
            </w:pPr>
          </w:p>
        </w:tc>
        <w:tc>
          <w:tcPr>
            <w:tcW w:w="3686" w:type="dxa"/>
          </w:tcPr>
          <w:p w14:paraId="68091A3C" w14:textId="77777777" w:rsidR="00200453" w:rsidRPr="00200453" w:rsidRDefault="00200453" w:rsidP="00200453">
            <w:pPr>
              <w:jc w:val="center"/>
              <w:rPr>
                <w:b/>
                <w:bCs/>
                <w:smallCaps/>
                <w:u w:val="single"/>
              </w:rPr>
            </w:pPr>
            <w:r w:rsidRPr="00200453">
              <w:rPr>
                <w:b/>
                <w:bCs/>
                <w:smallCaps/>
                <w:u w:val="single"/>
              </w:rPr>
              <w:t>Energy price</w:t>
            </w:r>
          </w:p>
        </w:tc>
        <w:tc>
          <w:tcPr>
            <w:tcW w:w="4111" w:type="dxa"/>
          </w:tcPr>
          <w:p w14:paraId="40404E2B" w14:textId="77777777" w:rsidR="00200453" w:rsidRDefault="00200453" w:rsidP="00200453">
            <w:pPr>
              <w:jc w:val="center"/>
              <w:rPr>
                <w:b/>
                <w:bCs/>
                <w:u w:val="single"/>
              </w:rPr>
            </w:pPr>
            <w:r w:rsidRPr="00200453">
              <w:rPr>
                <w:b/>
                <w:bCs/>
                <w:smallCaps/>
                <w:u w:val="single"/>
              </w:rPr>
              <w:t xml:space="preserve">Energy </w:t>
            </w:r>
            <w:r>
              <w:rPr>
                <w:b/>
                <w:bCs/>
                <w:smallCaps/>
                <w:u w:val="single"/>
              </w:rPr>
              <w:t>contingency plans</w:t>
            </w:r>
          </w:p>
        </w:tc>
        <w:tc>
          <w:tcPr>
            <w:tcW w:w="3888" w:type="dxa"/>
          </w:tcPr>
          <w:p w14:paraId="7E03AC06" w14:textId="77777777" w:rsidR="00200453" w:rsidRDefault="00200453" w:rsidP="00200453">
            <w:pPr>
              <w:jc w:val="center"/>
              <w:rPr>
                <w:b/>
                <w:bCs/>
                <w:u w:val="single"/>
              </w:rPr>
            </w:pPr>
            <w:r>
              <w:rPr>
                <w:b/>
                <w:bCs/>
                <w:smallCaps/>
                <w:u w:val="single"/>
              </w:rPr>
              <w:t>lobby / advocacy actions</w:t>
            </w:r>
          </w:p>
        </w:tc>
      </w:tr>
      <w:tr w:rsidR="00200453" w14:paraId="759EA441" w14:textId="77777777" w:rsidTr="00200453">
        <w:tc>
          <w:tcPr>
            <w:tcW w:w="2263" w:type="dxa"/>
          </w:tcPr>
          <w:p w14:paraId="76B4C32D" w14:textId="77777777" w:rsidR="00200453" w:rsidRDefault="00200453" w:rsidP="00200453">
            <w:pPr>
              <w:jc w:val="both"/>
              <w:rPr>
                <w:b/>
                <w:bCs/>
              </w:rPr>
            </w:pPr>
            <w:r w:rsidRPr="00200453">
              <w:rPr>
                <w:b/>
                <w:bCs/>
              </w:rPr>
              <w:t>EU level</w:t>
            </w:r>
          </w:p>
          <w:p w14:paraId="0FB09F72" w14:textId="77777777" w:rsidR="00200453" w:rsidRPr="00200453" w:rsidRDefault="00200453" w:rsidP="00200453">
            <w:pPr>
              <w:jc w:val="both"/>
              <w:rPr>
                <w:i/>
                <w:iCs/>
              </w:rPr>
            </w:pPr>
            <w:r w:rsidRPr="00200453">
              <w:rPr>
                <w:i/>
                <w:iCs/>
              </w:rPr>
              <w:t>Glass Alliance Europe</w:t>
            </w:r>
          </w:p>
          <w:p w14:paraId="05E182E7" w14:textId="77777777" w:rsidR="00200453" w:rsidRPr="00200453" w:rsidRDefault="00200453" w:rsidP="00200453">
            <w:pPr>
              <w:jc w:val="both"/>
              <w:rPr>
                <w:b/>
                <w:bCs/>
              </w:rPr>
            </w:pPr>
            <w:r w:rsidRPr="00200453">
              <w:rPr>
                <w:i/>
                <w:iCs/>
              </w:rPr>
              <w:t>Update: 06 April</w:t>
            </w:r>
          </w:p>
        </w:tc>
        <w:tc>
          <w:tcPr>
            <w:tcW w:w="3686" w:type="dxa"/>
          </w:tcPr>
          <w:p w14:paraId="37678B05" w14:textId="77777777" w:rsidR="00200453" w:rsidRDefault="00200453" w:rsidP="00200453">
            <w:pPr>
              <w:jc w:val="both"/>
            </w:pPr>
            <w:proofErr w:type="spellStart"/>
            <w:r w:rsidRPr="00200453">
              <w:rPr>
                <w:b/>
                <w:bCs/>
              </w:rPr>
              <w:t>RePowerEU</w:t>
            </w:r>
            <w:proofErr w:type="spellEnd"/>
            <w:r w:rsidRPr="00200453">
              <w:rPr>
                <w:b/>
                <w:bCs/>
              </w:rPr>
              <w:t xml:space="preserve"> plan</w:t>
            </w:r>
            <w:r>
              <w:t xml:space="preserve">: </w:t>
            </w:r>
            <w:hyperlink r:id="rId11" w:history="1">
              <w:r w:rsidRPr="009F2474">
                <w:rPr>
                  <w:rStyle w:val="Hypertextovodkaz"/>
                </w:rPr>
                <w:t>link</w:t>
              </w:r>
            </w:hyperlink>
          </w:p>
          <w:p w14:paraId="1A4D1403" w14:textId="77777777" w:rsidR="00200453" w:rsidRDefault="00200453" w:rsidP="00200453">
            <w:pPr>
              <w:jc w:val="both"/>
            </w:pPr>
            <w:r>
              <w:t>Possibility for M</w:t>
            </w:r>
            <w:r w:rsidR="009F2474">
              <w:t xml:space="preserve">ember </w:t>
            </w:r>
            <w:r>
              <w:t>S</w:t>
            </w:r>
            <w:r w:rsidR="009F2474">
              <w:t>tates</w:t>
            </w:r>
            <w:r>
              <w:t xml:space="preserve"> to lower VAT rates and excise duty on energy</w:t>
            </w:r>
          </w:p>
          <w:p w14:paraId="1A057EB9" w14:textId="77777777" w:rsidR="009F2474" w:rsidRDefault="009F2474" w:rsidP="00200453">
            <w:pPr>
              <w:jc w:val="both"/>
              <w:rPr>
                <w:b/>
                <w:bCs/>
              </w:rPr>
            </w:pPr>
          </w:p>
          <w:p w14:paraId="5FDB4B8F" w14:textId="77777777" w:rsidR="00773178" w:rsidRPr="009F2474" w:rsidRDefault="00200453" w:rsidP="00200453">
            <w:pPr>
              <w:jc w:val="both"/>
              <w:rPr>
                <w:b/>
                <w:bCs/>
              </w:rPr>
            </w:pPr>
            <w:r w:rsidRPr="009F2474">
              <w:rPr>
                <w:b/>
                <w:bCs/>
              </w:rPr>
              <w:t xml:space="preserve">Temporary </w:t>
            </w:r>
            <w:r w:rsidR="00773178" w:rsidRPr="009F2474">
              <w:rPr>
                <w:b/>
                <w:bCs/>
              </w:rPr>
              <w:t xml:space="preserve">Crisis Framework for </w:t>
            </w:r>
            <w:r w:rsidRPr="009F2474">
              <w:rPr>
                <w:b/>
                <w:bCs/>
              </w:rPr>
              <w:t>State Aid</w:t>
            </w:r>
            <w:r w:rsidR="00773178" w:rsidRPr="009F2474">
              <w:rPr>
                <w:b/>
                <w:bCs/>
              </w:rPr>
              <w:t xml:space="preserve">: </w:t>
            </w:r>
            <w:hyperlink r:id="rId12" w:history="1">
              <w:r w:rsidR="00773178" w:rsidRPr="009F2474">
                <w:rPr>
                  <w:rStyle w:val="Hypertextovodkaz"/>
                </w:rPr>
                <w:t>link</w:t>
              </w:r>
            </w:hyperlink>
          </w:p>
          <w:p w14:paraId="7AEE8A4E" w14:textId="77777777" w:rsidR="00200453" w:rsidRPr="00200453" w:rsidRDefault="00773178" w:rsidP="00200453">
            <w:pPr>
              <w:jc w:val="both"/>
            </w:pPr>
            <w:r>
              <w:t>Possib</w:t>
            </w:r>
            <w:r w:rsidR="009F2474">
              <w:t>ility for Member States to grant</w:t>
            </w:r>
            <w:r>
              <w:t xml:space="preserve"> support to</w:t>
            </w:r>
            <w:r w:rsidR="009F2474">
              <w:t xml:space="preserve"> companies and extra support to</w:t>
            </w:r>
            <w:r>
              <w:t xml:space="preserve"> energy intensive </w:t>
            </w:r>
            <w:r w:rsidR="009F2474">
              <w:t xml:space="preserve">ones </w:t>
            </w:r>
            <w:r>
              <w:t>(</w:t>
            </w:r>
            <w:proofErr w:type="spellStart"/>
            <w:r>
              <w:t>alinea</w:t>
            </w:r>
            <w:proofErr w:type="spellEnd"/>
            <w:r>
              <w:t xml:space="preserve"> 5</w:t>
            </w:r>
            <w:r w:rsidR="009F2474">
              <w:t>2</w:t>
            </w:r>
            <w:r>
              <w:t xml:space="preserve"> and 5</w:t>
            </w:r>
            <w:r w:rsidR="009F2474">
              <w:t>3</w:t>
            </w:r>
            <w:r>
              <w:t xml:space="preserve">) in case of losses generated by soaring energy costs. </w:t>
            </w:r>
            <w:r w:rsidRPr="009F2474">
              <w:rPr>
                <w:i/>
                <w:iCs/>
              </w:rPr>
              <w:t xml:space="preserve">Analysis circulated on </w:t>
            </w:r>
            <w:r w:rsidR="009F2474" w:rsidRPr="009F2474">
              <w:rPr>
                <w:i/>
                <w:iCs/>
              </w:rPr>
              <w:t xml:space="preserve">23 March by Veronique </w:t>
            </w:r>
            <w:r w:rsidR="00244081">
              <w:rPr>
                <w:i/>
                <w:iCs/>
              </w:rPr>
              <w:t xml:space="preserve">&amp; </w:t>
            </w:r>
            <w:r w:rsidR="009F2474" w:rsidRPr="009F2474">
              <w:rPr>
                <w:i/>
                <w:iCs/>
              </w:rPr>
              <w:t>Bertrand</w:t>
            </w:r>
            <w:r w:rsidR="00244081">
              <w:rPr>
                <w:i/>
                <w:iCs/>
              </w:rPr>
              <w:t xml:space="preserve"> </w:t>
            </w:r>
            <w:r w:rsidR="00244081">
              <w:rPr>
                <w:i/>
                <w:iCs/>
              </w:rPr>
              <w:br/>
            </w:r>
            <w:r w:rsidR="009F2474">
              <w:rPr>
                <w:i/>
                <w:iCs/>
              </w:rPr>
              <w:t xml:space="preserve"> </w:t>
            </w:r>
            <w:r w:rsidR="00244081">
              <w:object w:dxaOrig="1539" w:dyaOrig="997" w14:anchorId="6F828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AcroExch.Document.7" ShapeID="_x0000_i1025" DrawAspect="Icon" ObjectID="_1713171313" r:id="rId14"/>
              </w:object>
            </w:r>
          </w:p>
        </w:tc>
        <w:tc>
          <w:tcPr>
            <w:tcW w:w="4111" w:type="dxa"/>
          </w:tcPr>
          <w:p w14:paraId="2C3CDEFA" w14:textId="77777777" w:rsidR="00244081" w:rsidRDefault="00244081" w:rsidP="00244081">
            <w:pPr>
              <w:jc w:val="both"/>
            </w:pPr>
            <w:proofErr w:type="spellStart"/>
            <w:r w:rsidRPr="00200453">
              <w:rPr>
                <w:b/>
                <w:bCs/>
              </w:rPr>
              <w:t>RePowerEU</w:t>
            </w:r>
            <w:proofErr w:type="spellEnd"/>
            <w:r w:rsidRPr="00200453">
              <w:rPr>
                <w:b/>
                <w:bCs/>
              </w:rPr>
              <w:t xml:space="preserve"> plan</w:t>
            </w:r>
            <w:r>
              <w:t xml:space="preserve">: </w:t>
            </w:r>
            <w:hyperlink r:id="rId15" w:history="1">
              <w:r w:rsidRPr="009F2474">
                <w:rPr>
                  <w:rStyle w:val="Hypertextovodkaz"/>
                </w:rPr>
                <w:t>link</w:t>
              </w:r>
            </w:hyperlink>
          </w:p>
          <w:p w14:paraId="3642F46A" w14:textId="77777777" w:rsidR="00244081" w:rsidRDefault="00244081" w:rsidP="00244081">
            <w:pPr>
              <w:jc w:val="both"/>
            </w:pPr>
            <w:r>
              <w:t>Objective to reduce dependence on Russian gas imports. Several routes proposed including energy savings, diversification of gas supplies (LNG), refill of energy gas stocks by the autumn, etc.</w:t>
            </w:r>
          </w:p>
          <w:p w14:paraId="41A746F2" w14:textId="77777777" w:rsidR="00244081" w:rsidRDefault="00244081" w:rsidP="00244081">
            <w:pPr>
              <w:jc w:val="both"/>
            </w:pPr>
          </w:p>
          <w:p w14:paraId="495993D8" w14:textId="77777777" w:rsidR="00244081" w:rsidRDefault="00244081" w:rsidP="00244081">
            <w:pPr>
              <w:jc w:val="both"/>
            </w:pPr>
            <w:r>
              <w:t>Warning by EC in the High Level Group on E</w:t>
            </w:r>
            <w:r w:rsidR="00426CB7">
              <w:t>IIs</w:t>
            </w:r>
            <w:r>
              <w:t xml:space="preserve"> that industry needs to prepare for earlier phase out of Russian gas</w:t>
            </w:r>
            <w:r w:rsidR="00426CB7">
              <w:t>, in case…</w:t>
            </w:r>
          </w:p>
          <w:p w14:paraId="0C89AED2" w14:textId="77777777" w:rsidR="00200453" w:rsidRDefault="00200453" w:rsidP="00200453">
            <w:pPr>
              <w:jc w:val="both"/>
            </w:pPr>
          </w:p>
          <w:p w14:paraId="1904709A" w14:textId="77777777" w:rsidR="00426CB7" w:rsidRDefault="00426CB7" w:rsidP="00244081">
            <w:pPr>
              <w:jc w:val="both"/>
            </w:pPr>
            <w:r>
              <w:t xml:space="preserve">Oral Statement by DG GROW in response to BC intervention in HLEG on continuous supply: </w:t>
            </w:r>
            <w:r w:rsidR="00C671A0" w:rsidRPr="00C671A0">
              <w:rPr>
                <w:i/>
                <w:iCs/>
              </w:rPr>
              <w:t>‘We have on our radar the necessity for some sectors to be guaranteed continuous supply, incl. glass industries’</w:t>
            </w:r>
          </w:p>
          <w:p w14:paraId="5A609444" w14:textId="77777777" w:rsidR="00426CB7" w:rsidRDefault="00426CB7" w:rsidP="00244081">
            <w:pPr>
              <w:jc w:val="both"/>
            </w:pPr>
          </w:p>
          <w:p w14:paraId="4624EA1E" w14:textId="77777777" w:rsidR="00C671A0" w:rsidRDefault="00C671A0" w:rsidP="00C671A0">
            <w:pPr>
              <w:jc w:val="both"/>
            </w:pPr>
            <w:r>
              <w:t xml:space="preserve">All Member States asked to prepare and send to EC </w:t>
            </w:r>
            <w:r w:rsidRPr="00244081">
              <w:t xml:space="preserve">updated </w:t>
            </w:r>
            <w:r w:rsidRPr="00426CB7">
              <w:rPr>
                <w:u w:val="single"/>
              </w:rPr>
              <w:t>national / regional energy shortage contingency plans</w:t>
            </w:r>
            <w:r>
              <w:t>. EU will ‘collate them to check if they add up.’</w:t>
            </w:r>
          </w:p>
          <w:p w14:paraId="11364C94" w14:textId="77777777" w:rsidR="00C671A0" w:rsidRDefault="00C671A0" w:rsidP="00244081">
            <w:pPr>
              <w:jc w:val="both"/>
            </w:pPr>
          </w:p>
          <w:p w14:paraId="6B248EC6" w14:textId="77777777" w:rsidR="00426CB7" w:rsidRPr="00426CB7" w:rsidRDefault="00426CB7" w:rsidP="00426CB7">
            <w:pPr>
              <w:jc w:val="center"/>
              <w:rPr>
                <w:smallCaps/>
              </w:rPr>
            </w:pPr>
            <w:r w:rsidRPr="00426CB7">
              <w:rPr>
                <w:smallCaps/>
                <w:color w:val="4472C4" w:themeColor="accent1"/>
              </w:rPr>
              <w:t xml:space="preserve">Therefore very important to know from countries how the glass industry is treated in those </w:t>
            </w:r>
            <w:r>
              <w:rPr>
                <w:smallCaps/>
                <w:color w:val="4472C4" w:themeColor="accent1"/>
              </w:rPr>
              <w:t xml:space="preserve">national </w:t>
            </w:r>
            <w:r w:rsidRPr="00426CB7">
              <w:rPr>
                <w:smallCaps/>
                <w:color w:val="4472C4" w:themeColor="accent1"/>
              </w:rPr>
              <w:t>plans.</w:t>
            </w:r>
          </w:p>
        </w:tc>
        <w:tc>
          <w:tcPr>
            <w:tcW w:w="3888" w:type="dxa"/>
          </w:tcPr>
          <w:p w14:paraId="748626EE" w14:textId="77777777" w:rsidR="00200453" w:rsidRDefault="00C671A0" w:rsidP="00200453">
            <w:pPr>
              <w:jc w:val="both"/>
            </w:pPr>
            <w:r>
              <w:t xml:space="preserve">Joint Statement by some EIIs in response to </w:t>
            </w:r>
            <w:proofErr w:type="spellStart"/>
            <w:r>
              <w:t>RePowerEU</w:t>
            </w:r>
            <w:proofErr w:type="spellEnd"/>
            <w:r>
              <w:t xml:space="preserve"> drafted &amp; </w:t>
            </w:r>
            <w:proofErr w:type="spellStart"/>
            <w:r>
              <w:t>cosigned</w:t>
            </w:r>
            <w:proofErr w:type="spellEnd"/>
            <w:r>
              <w:t xml:space="preserve"> by GAE: </w:t>
            </w:r>
            <w:hyperlink r:id="rId16" w:history="1">
              <w:r w:rsidRPr="00032D22">
                <w:rPr>
                  <w:rStyle w:val="Hypertextovodkaz"/>
                </w:rPr>
                <w:t>link</w:t>
              </w:r>
            </w:hyperlink>
          </w:p>
          <w:p w14:paraId="599072F8" w14:textId="77777777" w:rsidR="00C671A0" w:rsidRDefault="00C671A0" w:rsidP="00200453">
            <w:pPr>
              <w:jc w:val="both"/>
            </w:pPr>
          </w:p>
          <w:p w14:paraId="15976D56" w14:textId="77777777" w:rsidR="00C671A0" w:rsidRDefault="00C671A0" w:rsidP="00200453">
            <w:pPr>
              <w:jc w:val="both"/>
            </w:pPr>
            <w:r>
              <w:t xml:space="preserve">Several papers and statements by </w:t>
            </w:r>
            <w:hyperlink r:id="rId17" w:history="1">
              <w:r w:rsidRPr="00032D22">
                <w:rPr>
                  <w:rStyle w:val="Hypertextovodkaz"/>
                </w:rPr>
                <w:t>FEVE</w:t>
              </w:r>
            </w:hyperlink>
            <w:r>
              <w:t xml:space="preserve"> and </w:t>
            </w:r>
            <w:hyperlink r:id="rId18" w:history="1">
              <w:r w:rsidRPr="00032D22">
                <w:rPr>
                  <w:rStyle w:val="Hypertextovodkaz"/>
                </w:rPr>
                <w:t>Glass for Europe</w:t>
              </w:r>
            </w:hyperlink>
            <w:r>
              <w:t>.</w:t>
            </w:r>
          </w:p>
          <w:p w14:paraId="6D4A3C87" w14:textId="77777777" w:rsidR="00C671A0" w:rsidRDefault="00C671A0" w:rsidP="00200453">
            <w:pPr>
              <w:jc w:val="both"/>
            </w:pPr>
          </w:p>
          <w:p w14:paraId="54010166" w14:textId="77777777" w:rsidR="00032D22" w:rsidRDefault="00C671A0" w:rsidP="00200453">
            <w:pPr>
              <w:jc w:val="both"/>
            </w:pPr>
            <w:r>
              <w:t xml:space="preserve">Interventions by </w:t>
            </w:r>
            <w:proofErr w:type="spellStart"/>
            <w:r>
              <w:t>BCazes</w:t>
            </w:r>
            <w:proofErr w:type="spellEnd"/>
            <w:r>
              <w:t xml:space="preserve"> at the HLEG on the importance for glass industry to be guaranteed continuous supply of energy.</w:t>
            </w:r>
          </w:p>
          <w:p w14:paraId="459F97B9" w14:textId="77777777" w:rsidR="00C671A0" w:rsidRDefault="00032D22" w:rsidP="00200453">
            <w:pPr>
              <w:jc w:val="both"/>
            </w:pPr>
            <w:r>
              <w:br/>
            </w:r>
            <w:hyperlink r:id="rId19" w:history="1">
              <w:r w:rsidRPr="00032D22">
                <w:rPr>
                  <w:rStyle w:val="Hypertextovodkaz"/>
                </w:rPr>
                <w:t>Opinion piece by P. Bastien</w:t>
              </w:r>
            </w:hyperlink>
            <w:r>
              <w:t xml:space="preserve"> in EU press stressing need for continuous supply.</w:t>
            </w:r>
          </w:p>
          <w:p w14:paraId="168C5CBE" w14:textId="77777777" w:rsidR="00C671A0" w:rsidRDefault="00C671A0" w:rsidP="00200453">
            <w:pPr>
              <w:jc w:val="both"/>
            </w:pPr>
          </w:p>
          <w:p w14:paraId="21CE91E8" w14:textId="77777777" w:rsidR="00C671A0" w:rsidRDefault="00C671A0" w:rsidP="00200453">
            <w:pPr>
              <w:jc w:val="both"/>
            </w:pPr>
            <w:r w:rsidRPr="00032D22">
              <w:rPr>
                <w:u w:val="single"/>
              </w:rPr>
              <w:t>Next actions / papers to be decided</w:t>
            </w:r>
            <w:r>
              <w:t xml:space="preserve"> after assessment of needs based on input from national associations (input to this table).</w:t>
            </w:r>
          </w:p>
          <w:p w14:paraId="0CC0438E" w14:textId="77777777" w:rsidR="00C671A0" w:rsidRDefault="00C671A0" w:rsidP="00200453">
            <w:pPr>
              <w:jc w:val="both"/>
            </w:pPr>
          </w:p>
          <w:p w14:paraId="46EC62FF" w14:textId="77777777" w:rsidR="00C671A0" w:rsidRPr="00200453" w:rsidRDefault="00C671A0" w:rsidP="00200453">
            <w:pPr>
              <w:jc w:val="both"/>
            </w:pPr>
          </w:p>
        </w:tc>
      </w:tr>
    </w:tbl>
    <w:p w14:paraId="621046B9" w14:textId="77777777" w:rsidR="0095208C" w:rsidRDefault="0095208C"/>
    <w:tbl>
      <w:tblPr>
        <w:tblStyle w:val="Mkatabulky"/>
        <w:tblW w:w="0" w:type="auto"/>
        <w:tblLook w:val="04A0" w:firstRow="1" w:lastRow="0" w:firstColumn="1" w:lastColumn="0" w:noHBand="0" w:noVBand="1"/>
      </w:tblPr>
      <w:tblGrid>
        <w:gridCol w:w="2063"/>
        <w:gridCol w:w="5008"/>
        <w:gridCol w:w="3542"/>
        <w:gridCol w:w="3335"/>
      </w:tblGrid>
      <w:tr w:rsidR="0095208C" w14:paraId="2FE101B4" w14:textId="77777777" w:rsidTr="00FC46A8">
        <w:tc>
          <w:tcPr>
            <w:tcW w:w="2063" w:type="dxa"/>
          </w:tcPr>
          <w:p w14:paraId="4048BF06" w14:textId="77777777" w:rsidR="0095208C" w:rsidRPr="00200453" w:rsidRDefault="0095208C" w:rsidP="00717824">
            <w:pPr>
              <w:jc w:val="both"/>
              <w:rPr>
                <w:b/>
                <w:bCs/>
              </w:rPr>
            </w:pPr>
          </w:p>
        </w:tc>
        <w:tc>
          <w:tcPr>
            <w:tcW w:w="5008" w:type="dxa"/>
          </w:tcPr>
          <w:p w14:paraId="41D52890" w14:textId="77777777" w:rsidR="0095208C" w:rsidRPr="00200453" w:rsidRDefault="0095208C" w:rsidP="00717824">
            <w:pPr>
              <w:jc w:val="center"/>
              <w:rPr>
                <w:b/>
                <w:bCs/>
                <w:smallCaps/>
                <w:u w:val="single"/>
              </w:rPr>
            </w:pPr>
            <w:r w:rsidRPr="00200453">
              <w:rPr>
                <w:b/>
                <w:bCs/>
                <w:smallCaps/>
                <w:u w:val="single"/>
              </w:rPr>
              <w:t>Energy price</w:t>
            </w:r>
          </w:p>
        </w:tc>
        <w:tc>
          <w:tcPr>
            <w:tcW w:w="3542" w:type="dxa"/>
          </w:tcPr>
          <w:p w14:paraId="2981FEEB" w14:textId="77777777" w:rsidR="0095208C" w:rsidRDefault="0095208C" w:rsidP="00717824">
            <w:pPr>
              <w:jc w:val="center"/>
              <w:rPr>
                <w:b/>
                <w:bCs/>
                <w:u w:val="single"/>
              </w:rPr>
            </w:pPr>
            <w:r w:rsidRPr="00200453">
              <w:rPr>
                <w:b/>
                <w:bCs/>
                <w:smallCaps/>
                <w:u w:val="single"/>
              </w:rPr>
              <w:t xml:space="preserve">Energy </w:t>
            </w:r>
            <w:r>
              <w:rPr>
                <w:b/>
                <w:bCs/>
                <w:smallCaps/>
                <w:u w:val="single"/>
              </w:rPr>
              <w:t>contingency plans</w:t>
            </w:r>
          </w:p>
        </w:tc>
        <w:tc>
          <w:tcPr>
            <w:tcW w:w="3335" w:type="dxa"/>
          </w:tcPr>
          <w:p w14:paraId="7B1D58B5" w14:textId="77777777" w:rsidR="0095208C" w:rsidRDefault="0095208C" w:rsidP="00717824">
            <w:pPr>
              <w:jc w:val="center"/>
              <w:rPr>
                <w:b/>
                <w:bCs/>
                <w:u w:val="single"/>
              </w:rPr>
            </w:pPr>
            <w:r>
              <w:rPr>
                <w:b/>
                <w:bCs/>
                <w:smallCaps/>
                <w:u w:val="single"/>
              </w:rPr>
              <w:t>lobby / advocacy actions</w:t>
            </w:r>
          </w:p>
        </w:tc>
      </w:tr>
      <w:tr w:rsidR="009A4C1B" w14:paraId="5AC972F0" w14:textId="77777777" w:rsidTr="00FC46A8">
        <w:tc>
          <w:tcPr>
            <w:tcW w:w="2063" w:type="dxa"/>
          </w:tcPr>
          <w:p w14:paraId="680085E2" w14:textId="77777777" w:rsidR="009A4C1B" w:rsidRDefault="009A4C1B" w:rsidP="009A4C1B">
            <w:pPr>
              <w:jc w:val="both"/>
              <w:rPr>
                <w:b/>
                <w:bCs/>
              </w:rPr>
            </w:pPr>
            <w:r w:rsidRPr="00200453">
              <w:rPr>
                <w:b/>
                <w:bCs/>
              </w:rPr>
              <w:t>Germany</w:t>
            </w:r>
          </w:p>
          <w:p w14:paraId="771D1FA4" w14:textId="3EBCEDAD" w:rsidR="009A4C1B" w:rsidRDefault="009A4C1B" w:rsidP="009A4C1B">
            <w:pPr>
              <w:jc w:val="both"/>
              <w:rPr>
                <w:i/>
                <w:iCs/>
              </w:rPr>
            </w:pPr>
            <w:r w:rsidRPr="00032D22">
              <w:rPr>
                <w:i/>
                <w:iCs/>
              </w:rPr>
              <w:t>BV Glas</w:t>
            </w:r>
            <w:r>
              <w:rPr>
                <w:i/>
                <w:iCs/>
              </w:rPr>
              <w:t xml:space="preserve"> Update: 22/04/2022</w:t>
            </w:r>
          </w:p>
          <w:p w14:paraId="3353D00A" w14:textId="77777777" w:rsidR="009A4C1B" w:rsidRDefault="009A4C1B" w:rsidP="009A4C1B">
            <w:pPr>
              <w:jc w:val="both"/>
              <w:rPr>
                <w:i/>
                <w:iCs/>
              </w:rPr>
            </w:pPr>
          </w:p>
          <w:p w14:paraId="3160D40B" w14:textId="77777777" w:rsidR="009A4C1B" w:rsidRDefault="009A4C1B" w:rsidP="009A4C1B">
            <w:pPr>
              <w:jc w:val="both"/>
              <w:rPr>
                <w:i/>
                <w:iCs/>
              </w:rPr>
            </w:pPr>
          </w:p>
          <w:p w14:paraId="6AB37D9D" w14:textId="77777777" w:rsidR="009A4C1B" w:rsidRDefault="009A4C1B" w:rsidP="009A4C1B">
            <w:pPr>
              <w:jc w:val="both"/>
              <w:rPr>
                <w:i/>
                <w:iCs/>
              </w:rPr>
            </w:pPr>
          </w:p>
          <w:p w14:paraId="02E6E527" w14:textId="77777777" w:rsidR="009A4C1B" w:rsidRDefault="009A4C1B" w:rsidP="009A4C1B">
            <w:pPr>
              <w:jc w:val="both"/>
              <w:rPr>
                <w:i/>
                <w:iCs/>
              </w:rPr>
            </w:pPr>
          </w:p>
          <w:p w14:paraId="6EF1B8F8" w14:textId="77777777" w:rsidR="009A4C1B" w:rsidRDefault="009A4C1B" w:rsidP="009A4C1B">
            <w:pPr>
              <w:jc w:val="both"/>
              <w:rPr>
                <w:i/>
                <w:iCs/>
              </w:rPr>
            </w:pPr>
          </w:p>
          <w:p w14:paraId="4A51FDF4" w14:textId="77777777" w:rsidR="009A4C1B" w:rsidRDefault="009A4C1B" w:rsidP="009A4C1B">
            <w:pPr>
              <w:jc w:val="both"/>
              <w:rPr>
                <w:i/>
                <w:iCs/>
              </w:rPr>
            </w:pPr>
          </w:p>
          <w:p w14:paraId="46884DC9" w14:textId="77777777" w:rsidR="009A4C1B" w:rsidRDefault="009A4C1B" w:rsidP="009A4C1B">
            <w:pPr>
              <w:jc w:val="both"/>
              <w:rPr>
                <w:i/>
                <w:iCs/>
              </w:rPr>
            </w:pPr>
          </w:p>
          <w:p w14:paraId="761CF12E" w14:textId="77777777" w:rsidR="009A4C1B" w:rsidRDefault="009A4C1B" w:rsidP="009A4C1B">
            <w:pPr>
              <w:jc w:val="both"/>
              <w:rPr>
                <w:i/>
                <w:iCs/>
              </w:rPr>
            </w:pPr>
          </w:p>
          <w:p w14:paraId="4F5D77C2" w14:textId="77777777" w:rsidR="009A4C1B" w:rsidRDefault="009A4C1B" w:rsidP="009A4C1B">
            <w:pPr>
              <w:jc w:val="both"/>
              <w:rPr>
                <w:i/>
                <w:iCs/>
              </w:rPr>
            </w:pPr>
          </w:p>
          <w:p w14:paraId="4FC825AB" w14:textId="77777777" w:rsidR="009A4C1B" w:rsidRDefault="009A4C1B" w:rsidP="009A4C1B">
            <w:pPr>
              <w:jc w:val="both"/>
              <w:rPr>
                <w:i/>
                <w:iCs/>
              </w:rPr>
            </w:pPr>
          </w:p>
          <w:p w14:paraId="4162CD79" w14:textId="77777777" w:rsidR="009A4C1B" w:rsidRPr="00032D22" w:rsidRDefault="009A4C1B" w:rsidP="009A4C1B">
            <w:pPr>
              <w:jc w:val="both"/>
              <w:rPr>
                <w:i/>
                <w:iCs/>
              </w:rPr>
            </w:pPr>
          </w:p>
        </w:tc>
        <w:tc>
          <w:tcPr>
            <w:tcW w:w="5008" w:type="dxa"/>
          </w:tcPr>
          <w:p w14:paraId="4C59E2F1" w14:textId="77777777" w:rsidR="009A4C1B" w:rsidRDefault="008505B7" w:rsidP="009A4C1B">
            <w:pPr>
              <w:jc w:val="both"/>
            </w:pPr>
            <w:hyperlink r:id="rId20" w:history="1">
              <w:r w:rsidR="009A4C1B" w:rsidRPr="00A72F21">
                <w:rPr>
                  <w:rStyle w:val="Hypertextovodkaz"/>
                </w:rPr>
                <w:t>https://www.bmwk.de/Redaktion/DE/Downloads/M-O/massnahmenueberblick-schutzschild-der-breg-fuer-vom-krieg-betroffene-unternehmen.pdf?__blob=publicationFile&amp;v=4</w:t>
              </w:r>
            </w:hyperlink>
          </w:p>
          <w:p w14:paraId="2F641EE1" w14:textId="77777777" w:rsidR="009A4C1B" w:rsidRDefault="009A4C1B" w:rsidP="009A4C1B">
            <w:pPr>
              <w:jc w:val="both"/>
            </w:pPr>
          </w:p>
          <w:p w14:paraId="067168BD" w14:textId="2F0163B9" w:rsidR="009A4C1B" w:rsidRPr="00200453" w:rsidRDefault="009A4C1B" w:rsidP="009A4C1B">
            <w:pPr>
              <w:jc w:val="both"/>
            </w:pPr>
            <w:r>
              <w:t>Germany publishes shield for energy intensive companies endangered/affected by high energy prices, in line with the EU Temporary Crisis Framework.</w:t>
            </w:r>
          </w:p>
        </w:tc>
        <w:tc>
          <w:tcPr>
            <w:tcW w:w="3542" w:type="dxa"/>
          </w:tcPr>
          <w:p w14:paraId="47CBBC9A" w14:textId="635B7CB5" w:rsidR="009A4C1B" w:rsidRPr="00200453" w:rsidRDefault="009A4C1B" w:rsidP="009A4C1B">
            <w:pPr>
              <w:jc w:val="both"/>
            </w:pPr>
            <w:r>
              <w:t>Federal Network agency invited BV Glass President to exclusive High Level CEO round table for energy intensive sectors. A dialogue platform was designed for natural gas security and contingency plans. BV Glas members are represented in all four groups. National Data base will be established in October 2022 where every natural gas consumer (&gt; 10 MW) will be listed with the crucial information in case of an emergency. This information platform will be the basis for the Federal Network agency to act in case of natural gas shortages.</w:t>
            </w:r>
          </w:p>
        </w:tc>
        <w:tc>
          <w:tcPr>
            <w:tcW w:w="3335" w:type="dxa"/>
          </w:tcPr>
          <w:p w14:paraId="6E0F44A5" w14:textId="47CC170D" w:rsidR="009A4C1B" w:rsidRPr="00200453" w:rsidRDefault="009A4C1B" w:rsidP="009A4C1B">
            <w:pPr>
              <w:jc w:val="both"/>
            </w:pPr>
            <w:r>
              <w:t>Several Position papers on energy price crisis and energy security supply. Intensive contacts with ministry of economics and Federal Network agency. Many press article and interviews where the special situation of our industry was stressed. Lobbying actions on energy crisis where taken in unison with the alliance of energy intensive industries in Germany.</w:t>
            </w:r>
          </w:p>
        </w:tc>
      </w:tr>
    </w:tbl>
    <w:p w14:paraId="4580C2EC" w14:textId="77777777" w:rsidR="00B4720D" w:rsidRPr="00FC46A8" w:rsidRDefault="00B4720D" w:rsidP="00B4720D">
      <w:pPr>
        <w:rPr>
          <w:sz w:val="16"/>
          <w:szCs w:val="16"/>
        </w:rPr>
      </w:pPr>
    </w:p>
    <w:tbl>
      <w:tblPr>
        <w:tblStyle w:val="Mkatabulky"/>
        <w:tblW w:w="0" w:type="auto"/>
        <w:tblLook w:val="04A0" w:firstRow="1" w:lastRow="0" w:firstColumn="1" w:lastColumn="0" w:noHBand="0" w:noVBand="1"/>
      </w:tblPr>
      <w:tblGrid>
        <w:gridCol w:w="1773"/>
        <w:gridCol w:w="3242"/>
        <w:gridCol w:w="5995"/>
        <w:gridCol w:w="2879"/>
      </w:tblGrid>
      <w:tr w:rsidR="00B4720D" w14:paraId="7A97E4ED" w14:textId="77777777" w:rsidTr="00B4720D">
        <w:tc>
          <w:tcPr>
            <w:tcW w:w="1773" w:type="dxa"/>
          </w:tcPr>
          <w:p w14:paraId="77C2ABBA" w14:textId="77777777" w:rsidR="00B4720D" w:rsidRPr="00200453" w:rsidRDefault="00B4720D" w:rsidP="001D0D8D">
            <w:pPr>
              <w:jc w:val="both"/>
              <w:rPr>
                <w:b/>
                <w:bCs/>
              </w:rPr>
            </w:pPr>
          </w:p>
        </w:tc>
        <w:tc>
          <w:tcPr>
            <w:tcW w:w="3242" w:type="dxa"/>
          </w:tcPr>
          <w:p w14:paraId="0242F02A" w14:textId="77777777" w:rsidR="00B4720D" w:rsidRPr="00200453" w:rsidRDefault="00B4720D" w:rsidP="001D0D8D">
            <w:pPr>
              <w:jc w:val="center"/>
              <w:rPr>
                <w:b/>
                <w:bCs/>
                <w:smallCaps/>
                <w:u w:val="single"/>
              </w:rPr>
            </w:pPr>
            <w:r w:rsidRPr="00200453">
              <w:rPr>
                <w:b/>
                <w:bCs/>
                <w:smallCaps/>
                <w:u w:val="single"/>
              </w:rPr>
              <w:t>Energy price</w:t>
            </w:r>
          </w:p>
        </w:tc>
        <w:tc>
          <w:tcPr>
            <w:tcW w:w="5995" w:type="dxa"/>
          </w:tcPr>
          <w:p w14:paraId="5D043CD2" w14:textId="77777777" w:rsidR="00B4720D" w:rsidRDefault="00B4720D" w:rsidP="001D0D8D">
            <w:pPr>
              <w:jc w:val="center"/>
              <w:rPr>
                <w:b/>
                <w:bCs/>
                <w:u w:val="single"/>
              </w:rPr>
            </w:pPr>
            <w:r w:rsidRPr="00200453">
              <w:rPr>
                <w:b/>
                <w:bCs/>
                <w:smallCaps/>
                <w:u w:val="single"/>
              </w:rPr>
              <w:t xml:space="preserve">Energy </w:t>
            </w:r>
            <w:r>
              <w:rPr>
                <w:b/>
                <w:bCs/>
                <w:smallCaps/>
                <w:u w:val="single"/>
              </w:rPr>
              <w:t>contingency plans</w:t>
            </w:r>
          </w:p>
        </w:tc>
        <w:tc>
          <w:tcPr>
            <w:tcW w:w="2879" w:type="dxa"/>
          </w:tcPr>
          <w:p w14:paraId="069E1BA9" w14:textId="77777777" w:rsidR="00B4720D" w:rsidRDefault="00B4720D" w:rsidP="001D0D8D">
            <w:pPr>
              <w:jc w:val="center"/>
              <w:rPr>
                <w:b/>
                <w:bCs/>
                <w:u w:val="single"/>
              </w:rPr>
            </w:pPr>
            <w:r>
              <w:rPr>
                <w:b/>
                <w:bCs/>
                <w:smallCaps/>
                <w:u w:val="single"/>
              </w:rPr>
              <w:t>lobby / advocacy actions</w:t>
            </w:r>
          </w:p>
        </w:tc>
      </w:tr>
      <w:tr w:rsidR="002F656C" w:rsidRPr="00032D22" w14:paraId="7BAE13B7" w14:textId="77777777" w:rsidTr="00B4720D">
        <w:trPr>
          <w:trHeight w:val="3068"/>
        </w:trPr>
        <w:tc>
          <w:tcPr>
            <w:tcW w:w="1773" w:type="dxa"/>
          </w:tcPr>
          <w:p w14:paraId="4C85B1CC" w14:textId="77777777" w:rsidR="002F656C" w:rsidRPr="00A8342D" w:rsidRDefault="002F656C" w:rsidP="00476029">
            <w:pPr>
              <w:jc w:val="both"/>
              <w:rPr>
                <w:b/>
                <w:bCs/>
                <w:lang w:val="fr-BE"/>
              </w:rPr>
            </w:pPr>
            <w:r w:rsidRPr="00A8342D">
              <w:rPr>
                <w:b/>
                <w:bCs/>
                <w:lang w:val="fr-BE"/>
              </w:rPr>
              <w:t>France</w:t>
            </w:r>
          </w:p>
          <w:p w14:paraId="4002C157" w14:textId="6FB553B1" w:rsidR="002F656C" w:rsidRDefault="002F656C" w:rsidP="00476029">
            <w:pPr>
              <w:jc w:val="both"/>
              <w:rPr>
                <w:i/>
                <w:iCs/>
                <w:lang w:val="fr-BE"/>
              </w:rPr>
            </w:pPr>
            <w:r w:rsidRPr="00032D22">
              <w:rPr>
                <w:i/>
                <w:iCs/>
                <w:lang w:val="fr-BE"/>
              </w:rPr>
              <w:t>F</w:t>
            </w:r>
            <w:r>
              <w:rPr>
                <w:i/>
                <w:iCs/>
                <w:lang w:val="fr-BE"/>
              </w:rPr>
              <w:t xml:space="preserve">CSIV </w:t>
            </w:r>
            <w:r w:rsidRPr="00032D22">
              <w:rPr>
                <w:i/>
                <w:iCs/>
                <w:lang w:val="fr-BE"/>
              </w:rPr>
              <w:t>Update</w:t>
            </w:r>
            <w:r>
              <w:rPr>
                <w:i/>
                <w:iCs/>
                <w:lang w:val="fr-BE"/>
              </w:rPr>
              <w:t xml:space="preserve"> (19/04)</w:t>
            </w:r>
          </w:p>
          <w:p w14:paraId="44C00577" w14:textId="77777777" w:rsidR="002F656C" w:rsidRDefault="002F656C" w:rsidP="00476029">
            <w:pPr>
              <w:jc w:val="both"/>
              <w:rPr>
                <w:b/>
                <w:bCs/>
                <w:i/>
                <w:iCs/>
                <w:lang w:val="fr-BE"/>
              </w:rPr>
            </w:pPr>
          </w:p>
          <w:p w14:paraId="159E7E6D" w14:textId="77777777" w:rsidR="002F656C" w:rsidRDefault="002F656C" w:rsidP="00476029">
            <w:pPr>
              <w:jc w:val="both"/>
              <w:rPr>
                <w:b/>
                <w:bCs/>
                <w:i/>
                <w:iCs/>
                <w:lang w:val="fr-BE"/>
              </w:rPr>
            </w:pPr>
          </w:p>
          <w:p w14:paraId="7C64C70D" w14:textId="77777777" w:rsidR="002F656C" w:rsidRDefault="002F656C" w:rsidP="00476029">
            <w:pPr>
              <w:jc w:val="both"/>
              <w:rPr>
                <w:b/>
                <w:bCs/>
                <w:i/>
                <w:iCs/>
                <w:lang w:val="fr-BE"/>
              </w:rPr>
            </w:pPr>
          </w:p>
          <w:p w14:paraId="41354B6A" w14:textId="77777777" w:rsidR="002F656C" w:rsidRDefault="002F656C" w:rsidP="00476029">
            <w:pPr>
              <w:jc w:val="both"/>
              <w:rPr>
                <w:b/>
                <w:bCs/>
                <w:i/>
                <w:iCs/>
                <w:lang w:val="fr-BE"/>
              </w:rPr>
            </w:pPr>
          </w:p>
          <w:p w14:paraId="349AE791" w14:textId="77777777" w:rsidR="002F656C" w:rsidRDefault="002F656C" w:rsidP="00476029">
            <w:pPr>
              <w:jc w:val="both"/>
              <w:rPr>
                <w:b/>
                <w:bCs/>
                <w:i/>
                <w:iCs/>
                <w:lang w:val="fr-BE"/>
              </w:rPr>
            </w:pPr>
          </w:p>
          <w:p w14:paraId="35B27926" w14:textId="77777777" w:rsidR="002F656C" w:rsidRDefault="002F656C" w:rsidP="00476029">
            <w:pPr>
              <w:jc w:val="both"/>
              <w:rPr>
                <w:b/>
                <w:bCs/>
                <w:i/>
                <w:iCs/>
                <w:lang w:val="fr-BE"/>
              </w:rPr>
            </w:pPr>
          </w:p>
          <w:p w14:paraId="1ADE679F" w14:textId="77777777" w:rsidR="002F656C" w:rsidRDefault="002F656C" w:rsidP="00476029">
            <w:pPr>
              <w:jc w:val="both"/>
              <w:rPr>
                <w:b/>
                <w:bCs/>
                <w:i/>
                <w:iCs/>
                <w:lang w:val="fr-BE"/>
              </w:rPr>
            </w:pPr>
          </w:p>
          <w:p w14:paraId="4F04BB29" w14:textId="77777777" w:rsidR="002F656C" w:rsidRPr="00032D22" w:rsidRDefault="002F656C" w:rsidP="00476029">
            <w:pPr>
              <w:jc w:val="both"/>
              <w:rPr>
                <w:b/>
                <w:bCs/>
                <w:lang w:val="fr-BE"/>
              </w:rPr>
            </w:pPr>
          </w:p>
        </w:tc>
        <w:tc>
          <w:tcPr>
            <w:tcW w:w="3242" w:type="dxa"/>
          </w:tcPr>
          <w:p w14:paraId="017C9286" w14:textId="2ED2B9DD" w:rsidR="002F656C" w:rsidRPr="00476029" w:rsidRDefault="002F656C" w:rsidP="00476029">
            <w:pPr>
              <w:jc w:val="both"/>
            </w:pPr>
            <w:r w:rsidRPr="0067328A">
              <w:t>Financial support is focusing on com</w:t>
            </w:r>
            <w:r>
              <w:t>pany with losses according to European rules…we are not aware of glass companies conce</w:t>
            </w:r>
            <w:r w:rsidR="00FC46A8">
              <w:t>r</w:t>
            </w:r>
            <w:r>
              <w:t>ned.</w:t>
            </w:r>
          </w:p>
        </w:tc>
        <w:tc>
          <w:tcPr>
            <w:tcW w:w="5995" w:type="dxa"/>
          </w:tcPr>
          <w:p w14:paraId="54D67233" w14:textId="77777777" w:rsidR="002F656C" w:rsidRDefault="002F656C" w:rsidP="00476029">
            <w:pPr>
              <w:jc w:val="both"/>
            </w:pPr>
            <w:r>
              <w:t>Mechanism is being implemented in case of shortage. Priority list has to be defined with a focus on site with consumption higher than 5 GWh/year. Such sites have to answer a survey on the consequences of shortage. List of priority will be defined at a local level…</w:t>
            </w:r>
          </w:p>
          <w:p w14:paraId="41E803F1" w14:textId="77777777" w:rsidR="002F656C" w:rsidRDefault="002F656C" w:rsidP="00476029">
            <w:pPr>
              <w:jc w:val="both"/>
            </w:pPr>
            <w:r>
              <w:t>To be noted, the very short delay for activation of the mechanism: 2h!</w:t>
            </w:r>
          </w:p>
          <w:p w14:paraId="7CEC003A" w14:textId="77777777" w:rsidR="002F656C" w:rsidRDefault="002F656C" w:rsidP="00476029">
            <w:pPr>
              <w:jc w:val="both"/>
            </w:pPr>
          </w:p>
          <w:p w14:paraId="04D19C72" w14:textId="77777777" w:rsidR="002F656C" w:rsidRDefault="002F656C" w:rsidP="00476029">
            <w:pPr>
              <w:jc w:val="both"/>
            </w:pPr>
            <w:r>
              <w:t xml:space="preserve">Link to the text : </w:t>
            </w:r>
          </w:p>
          <w:p w14:paraId="230DC977" w14:textId="66D86B1E" w:rsidR="002F656C" w:rsidRPr="00476029" w:rsidRDefault="008505B7" w:rsidP="00476029">
            <w:pPr>
              <w:jc w:val="both"/>
            </w:pPr>
            <w:hyperlink r:id="rId21" w:history="1">
              <w:r w:rsidR="002F656C" w:rsidRPr="00560E44">
                <w:rPr>
                  <w:rStyle w:val="Hypertextovodkaz"/>
                </w:rPr>
                <w:t>https://www.legifrance.gouv.fr/jorf/id/JORFTEXT000045530674</w:t>
              </w:r>
            </w:hyperlink>
          </w:p>
        </w:tc>
        <w:tc>
          <w:tcPr>
            <w:tcW w:w="2879" w:type="dxa"/>
          </w:tcPr>
          <w:p w14:paraId="7EDDB37C" w14:textId="04AF37AD" w:rsidR="002F656C" w:rsidRPr="00FC46A8" w:rsidRDefault="002F656C" w:rsidP="00FC46A8">
            <w:pPr>
              <w:pStyle w:val="Odstavecseseznamem"/>
              <w:numPr>
                <w:ilvl w:val="0"/>
                <w:numId w:val="4"/>
              </w:numPr>
              <w:ind w:left="128" w:hanging="128"/>
              <w:jc w:val="both"/>
            </w:pPr>
            <w:r>
              <w:t>Letter send to the ministry of economy</w:t>
            </w:r>
          </w:p>
          <w:p w14:paraId="7CD4AA56" w14:textId="329EC20F" w:rsidR="002F656C" w:rsidRPr="00FC46A8" w:rsidRDefault="002F656C" w:rsidP="00FC46A8">
            <w:pPr>
              <w:pStyle w:val="Odstavecseseznamem"/>
              <w:numPr>
                <w:ilvl w:val="0"/>
                <w:numId w:val="4"/>
              </w:numPr>
              <w:ind w:left="128" w:hanging="128"/>
              <w:jc w:val="both"/>
            </w:pPr>
            <w:r>
              <w:t>Exchanges with our authorities at different levels</w:t>
            </w:r>
          </w:p>
          <w:p w14:paraId="62F6A934" w14:textId="05978FCB" w:rsidR="002F656C" w:rsidRPr="00476029" w:rsidRDefault="002F656C" w:rsidP="00476029">
            <w:pPr>
              <w:pStyle w:val="Odstavecseseznamem"/>
              <w:numPr>
                <w:ilvl w:val="0"/>
                <w:numId w:val="4"/>
              </w:numPr>
              <w:ind w:left="128" w:hanging="128"/>
              <w:jc w:val="both"/>
            </w:pPr>
            <w:r>
              <w:t>Recognition in the media of our argument, glass is often used as an example (</w:t>
            </w:r>
            <w:r w:rsidRPr="00476029">
              <w:rPr>
                <w:i/>
                <w:iCs/>
              </w:rPr>
              <w:t xml:space="preserve">Article in Les </w:t>
            </w:r>
            <w:proofErr w:type="spellStart"/>
            <w:r w:rsidRPr="00476029">
              <w:rPr>
                <w:i/>
                <w:iCs/>
              </w:rPr>
              <w:t>Echos</w:t>
            </w:r>
            <w:proofErr w:type="spellEnd"/>
            <w:r>
              <w:t>)!</w:t>
            </w:r>
          </w:p>
        </w:tc>
      </w:tr>
    </w:tbl>
    <w:p w14:paraId="60375674" w14:textId="77777777" w:rsidR="0095208C" w:rsidRDefault="0095208C"/>
    <w:tbl>
      <w:tblPr>
        <w:tblStyle w:val="Mkatabulky"/>
        <w:tblW w:w="0" w:type="auto"/>
        <w:tblLook w:val="04A0" w:firstRow="1" w:lastRow="0" w:firstColumn="1" w:lastColumn="0" w:noHBand="0" w:noVBand="1"/>
      </w:tblPr>
      <w:tblGrid>
        <w:gridCol w:w="1838"/>
        <w:gridCol w:w="3260"/>
        <w:gridCol w:w="5954"/>
        <w:gridCol w:w="2896"/>
      </w:tblGrid>
      <w:tr w:rsidR="0095208C" w14:paraId="58C29D8E" w14:textId="77777777" w:rsidTr="00B4720D">
        <w:tc>
          <w:tcPr>
            <w:tcW w:w="1838" w:type="dxa"/>
          </w:tcPr>
          <w:p w14:paraId="45FC8D76" w14:textId="77777777" w:rsidR="0095208C" w:rsidRPr="00200453" w:rsidRDefault="0095208C" w:rsidP="00717824">
            <w:pPr>
              <w:jc w:val="both"/>
              <w:rPr>
                <w:b/>
                <w:bCs/>
              </w:rPr>
            </w:pPr>
          </w:p>
        </w:tc>
        <w:tc>
          <w:tcPr>
            <w:tcW w:w="3260" w:type="dxa"/>
          </w:tcPr>
          <w:p w14:paraId="04CBC23C" w14:textId="77777777" w:rsidR="0095208C" w:rsidRPr="00200453" w:rsidRDefault="0095208C" w:rsidP="00717824">
            <w:pPr>
              <w:jc w:val="center"/>
              <w:rPr>
                <w:b/>
                <w:bCs/>
                <w:smallCaps/>
                <w:u w:val="single"/>
              </w:rPr>
            </w:pPr>
            <w:r w:rsidRPr="00200453">
              <w:rPr>
                <w:b/>
                <w:bCs/>
                <w:smallCaps/>
                <w:u w:val="single"/>
              </w:rPr>
              <w:t>Energy price</w:t>
            </w:r>
          </w:p>
        </w:tc>
        <w:tc>
          <w:tcPr>
            <w:tcW w:w="5954" w:type="dxa"/>
          </w:tcPr>
          <w:p w14:paraId="17E72D86" w14:textId="77777777" w:rsidR="0095208C" w:rsidRDefault="0095208C" w:rsidP="00717824">
            <w:pPr>
              <w:jc w:val="center"/>
              <w:rPr>
                <w:b/>
                <w:bCs/>
                <w:u w:val="single"/>
              </w:rPr>
            </w:pPr>
            <w:r w:rsidRPr="00200453">
              <w:rPr>
                <w:b/>
                <w:bCs/>
                <w:smallCaps/>
                <w:u w:val="single"/>
              </w:rPr>
              <w:t xml:space="preserve">Energy </w:t>
            </w:r>
            <w:r>
              <w:rPr>
                <w:b/>
                <w:bCs/>
                <w:smallCaps/>
                <w:u w:val="single"/>
              </w:rPr>
              <w:t>contingency plans</w:t>
            </w:r>
          </w:p>
        </w:tc>
        <w:tc>
          <w:tcPr>
            <w:tcW w:w="2896" w:type="dxa"/>
          </w:tcPr>
          <w:p w14:paraId="1ACA2A39" w14:textId="77777777" w:rsidR="0095208C" w:rsidRDefault="0095208C" w:rsidP="00717824">
            <w:pPr>
              <w:jc w:val="center"/>
              <w:rPr>
                <w:b/>
                <w:bCs/>
                <w:u w:val="single"/>
              </w:rPr>
            </w:pPr>
            <w:r>
              <w:rPr>
                <w:b/>
                <w:bCs/>
                <w:smallCaps/>
                <w:u w:val="single"/>
              </w:rPr>
              <w:t>lobby / advocacy actions</w:t>
            </w:r>
          </w:p>
        </w:tc>
      </w:tr>
      <w:tr w:rsidR="00194ECC" w14:paraId="203DA27F" w14:textId="77777777" w:rsidTr="00B4720D">
        <w:tc>
          <w:tcPr>
            <w:tcW w:w="1838" w:type="dxa"/>
          </w:tcPr>
          <w:p w14:paraId="3D232A0D" w14:textId="77777777" w:rsidR="00194ECC" w:rsidRDefault="00194ECC" w:rsidP="00194ECC">
            <w:pPr>
              <w:jc w:val="both"/>
              <w:rPr>
                <w:b/>
                <w:bCs/>
              </w:rPr>
            </w:pPr>
            <w:r w:rsidRPr="00200453">
              <w:rPr>
                <w:b/>
                <w:bCs/>
              </w:rPr>
              <w:t>Poland</w:t>
            </w:r>
          </w:p>
          <w:p w14:paraId="091109EB" w14:textId="31A1C57E" w:rsidR="00194ECC" w:rsidRPr="0095208C" w:rsidRDefault="00194ECC" w:rsidP="00194ECC">
            <w:pPr>
              <w:jc w:val="both"/>
              <w:rPr>
                <w:i/>
                <w:iCs/>
                <w:lang w:val="fr-BE"/>
              </w:rPr>
            </w:pPr>
            <w:r>
              <w:rPr>
                <w:i/>
                <w:iCs/>
                <w:lang w:val="fr-BE"/>
              </w:rPr>
              <w:t xml:space="preserve">ZPPL </w:t>
            </w:r>
            <w:r w:rsidRPr="0095208C">
              <w:rPr>
                <w:i/>
                <w:iCs/>
                <w:lang w:val="fr-BE"/>
              </w:rPr>
              <w:t>Update</w:t>
            </w:r>
            <w:r w:rsidR="00476029">
              <w:rPr>
                <w:i/>
                <w:iCs/>
                <w:lang w:val="fr-BE"/>
              </w:rPr>
              <w:t xml:space="preserve"> (19/04)</w:t>
            </w:r>
          </w:p>
          <w:p w14:paraId="6DB64400" w14:textId="77777777" w:rsidR="00194ECC" w:rsidRDefault="00194ECC" w:rsidP="00194ECC">
            <w:pPr>
              <w:jc w:val="both"/>
              <w:rPr>
                <w:b/>
                <w:bCs/>
              </w:rPr>
            </w:pPr>
          </w:p>
          <w:p w14:paraId="045BA6B8" w14:textId="77777777" w:rsidR="00194ECC" w:rsidRDefault="00194ECC" w:rsidP="00194ECC">
            <w:pPr>
              <w:jc w:val="both"/>
              <w:rPr>
                <w:b/>
                <w:bCs/>
              </w:rPr>
            </w:pPr>
          </w:p>
          <w:p w14:paraId="4B1797EA" w14:textId="77777777" w:rsidR="00194ECC" w:rsidRDefault="00194ECC" w:rsidP="00194ECC">
            <w:pPr>
              <w:jc w:val="both"/>
              <w:rPr>
                <w:b/>
                <w:bCs/>
              </w:rPr>
            </w:pPr>
          </w:p>
          <w:p w14:paraId="632BD940" w14:textId="77777777" w:rsidR="00194ECC" w:rsidRDefault="00194ECC" w:rsidP="00194ECC">
            <w:pPr>
              <w:jc w:val="both"/>
              <w:rPr>
                <w:b/>
                <w:bCs/>
              </w:rPr>
            </w:pPr>
          </w:p>
          <w:p w14:paraId="243A6603" w14:textId="77777777" w:rsidR="00194ECC" w:rsidRDefault="00194ECC" w:rsidP="00194ECC">
            <w:pPr>
              <w:jc w:val="both"/>
              <w:rPr>
                <w:b/>
                <w:bCs/>
              </w:rPr>
            </w:pPr>
          </w:p>
          <w:p w14:paraId="6F683AEF" w14:textId="77777777" w:rsidR="00194ECC" w:rsidRDefault="00194ECC" w:rsidP="00194ECC">
            <w:pPr>
              <w:jc w:val="both"/>
              <w:rPr>
                <w:b/>
                <w:bCs/>
              </w:rPr>
            </w:pPr>
          </w:p>
          <w:p w14:paraId="0CA9C55C" w14:textId="77777777" w:rsidR="00194ECC" w:rsidRPr="00200453" w:rsidRDefault="00194ECC" w:rsidP="00194ECC">
            <w:pPr>
              <w:jc w:val="both"/>
              <w:rPr>
                <w:b/>
                <w:bCs/>
              </w:rPr>
            </w:pPr>
          </w:p>
        </w:tc>
        <w:tc>
          <w:tcPr>
            <w:tcW w:w="3260" w:type="dxa"/>
          </w:tcPr>
          <w:p w14:paraId="058C73D3" w14:textId="77777777" w:rsidR="00194ECC" w:rsidRDefault="00194ECC" w:rsidP="00194ECC">
            <w:pPr>
              <w:pStyle w:val="Odstavecseseznamem"/>
              <w:numPr>
                <w:ilvl w:val="0"/>
                <w:numId w:val="3"/>
              </w:numPr>
              <w:ind w:left="318"/>
              <w:jc w:val="both"/>
            </w:pPr>
            <w:r>
              <w:t>Continuous lobbying re regulatory part of electricity price (including network costs, green - renewables and white – en. efficiency certificates, method to determine the price on she stock market).</w:t>
            </w:r>
          </w:p>
          <w:p w14:paraId="78441D65" w14:textId="77777777" w:rsidR="00194ECC" w:rsidRDefault="00194ECC" w:rsidP="00194ECC">
            <w:pPr>
              <w:ind w:left="318"/>
              <w:jc w:val="both"/>
            </w:pPr>
          </w:p>
          <w:p w14:paraId="68050880" w14:textId="2CF870F2" w:rsidR="00194ECC" w:rsidRPr="00200453" w:rsidRDefault="00194ECC" w:rsidP="00194ECC">
            <w:pPr>
              <w:pStyle w:val="Odstavecseseznamem"/>
              <w:numPr>
                <w:ilvl w:val="0"/>
                <w:numId w:val="3"/>
              </w:numPr>
              <w:ind w:left="318"/>
              <w:jc w:val="both"/>
            </w:pPr>
            <w:r>
              <w:t>Some new measures available to the industry to be presented by end of April.</w:t>
            </w:r>
          </w:p>
        </w:tc>
        <w:tc>
          <w:tcPr>
            <w:tcW w:w="5954" w:type="dxa"/>
          </w:tcPr>
          <w:p w14:paraId="7C2638A0" w14:textId="77777777" w:rsidR="00194ECC" w:rsidRDefault="00194ECC" w:rsidP="00194ECC">
            <w:pPr>
              <w:jc w:val="both"/>
            </w:pPr>
            <w:r>
              <w:t>No special provisions for any industry, but:</w:t>
            </w:r>
          </w:p>
          <w:p w14:paraId="61573CAC" w14:textId="77777777" w:rsidR="00194ECC" w:rsidRDefault="00194ECC" w:rsidP="00194ECC">
            <w:pPr>
              <w:jc w:val="both"/>
            </w:pPr>
          </w:p>
          <w:p w14:paraId="6ABF77B6" w14:textId="77777777" w:rsidR="00194ECC" w:rsidRDefault="00194ECC" w:rsidP="00194ECC">
            <w:pPr>
              <w:pStyle w:val="Odstavecseseznamem"/>
              <w:numPr>
                <w:ilvl w:val="0"/>
                <w:numId w:val="2"/>
              </w:numPr>
              <w:ind w:left="461"/>
              <w:jc w:val="both"/>
            </w:pPr>
            <w:r w:rsidRPr="00BE1163">
              <w:t xml:space="preserve">the gas storage </w:t>
            </w:r>
            <w:r>
              <w:t xml:space="preserve">is </w:t>
            </w:r>
            <w:r w:rsidRPr="00BE1163">
              <w:t>currently 70% full</w:t>
            </w:r>
            <w:r>
              <w:t>,</w:t>
            </w:r>
          </w:p>
          <w:p w14:paraId="37D8AC50" w14:textId="77777777" w:rsidR="00194ECC" w:rsidRDefault="00194ECC" w:rsidP="00194ECC">
            <w:pPr>
              <w:pStyle w:val="Odstavecseseznamem"/>
              <w:numPr>
                <w:ilvl w:val="0"/>
                <w:numId w:val="2"/>
              </w:numPr>
              <w:ind w:left="461"/>
              <w:jc w:val="both"/>
            </w:pPr>
            <w:r>
              <w:t>a</w:t>
            </w:r>
            <w:r w:rsidRPr="00BE1163">
              <w:t xml:space="preserve"> new natural gas pipeline from Scandinavia (</w:t>
            </w:r>
            <w:r>
              <w:t xml:space="preserve">the </w:t>
            </w:r>
            <w:r w:rsidRPr="00BE1163">
              <w:t xml:space="preserve">Baltic Pipe) </w:t>
            </w:r>
            <w:r>
              <w:t>operational in autumn,</w:t>
            </w:r>
          </w:p>
          <w:p w14:paraId="24240B8A" w14:textId="684EF34C" w:rsidR="00194ECC" w:rsidRPr="00200453" w:rsidRDefault="00194ECC" w:rsidP="00194ECC">
            <w:pPr>
              <w:pStyle w:val="Odstavecseseznamem"/>
              <w:numPr>
                <w:ilvl w:val="0"/>
                <w:numId w:val="2"/>
              </w:numPr>
              <w:ind w:left="461"/>
              <w:jc w:val="both"/>
            </w:pPr>
            <w:r>
              <w:t>Further build-up of the LNG terminal.</w:t>
            </w:r>
          </w:p>
        </w:tc>
        <w:tc>
          <w:tcPr>
            <w:tcW w:w="2896" w:type="dxa"/>
          </w:tcPr>
          <w:p w14:paraId="1A43D00B" w14:textId="77777777" w:rsidR="00194ECC" w:rsidRDefault="00194ECC" w:rsidP="00194ECC">
            <w:pPr>
              <w:pStyle w:val="Odstavecseseznamem"/>
              <w:numPr>
                <w:ilvl w:val="0"/>
                <w:numId w:val="2"/>
              </w:numPr>
              <w:ind w:left="314"/>
              <w:jc w:val="both"/>
            </w:pPr>
            <w:r>
              <w:t>Presentation by ZPPS on official social dialogue meeting on 24</w:t>
            </w:r>
            <w:r w:rsidRPr="009E67EE">
              <w:rPr>
                <w:vertAlign w:val="superscript"/>
              </w:rPr>
              <w:t>th</w:t>
            </w:r>
            <w:r>
              <w:t xml:space="preserve"> of February.</w:t>
            </w:r>
          </w:p>
          <w:p w14:paraId="3691038C" w14:textId="77777777" w:rsidR="00194ECC" w:rsidRDefault="00194ECC" w:rsidP="00194ECC">
            <w:pPr>
              <w:pStyle w:val="Odstavecseseznamem"/>
              <w:numPr>
                <w:ilvl w:val="0"/>
                <w:numId w:val="2"/>
              </w:numPr>
              <w:ind w:left="314"/>
              <w:jc w:val="both"/>
            </w:pPr>
            <w:r>
              <w:t>2 position papers and legal analysis sent to the ministries, prime minister office, grid operator, energy regulatory office and main gas suppliers.</w:t>
            </w:r>
          </w:p>
          <w:p w14:paraId="7441EB9F" w14:textId="7509BFCE" w:rsidR="00194ECC" w:rsidRDefault="00194ECC" w:rsidP="00194ECC">
            <w:pPr>
              <w:pStyle w:val="Odstavecseseznamem"/>
              <w:numPr>
                <w:ilvl w:val="0"/>
                <w:numId w:val="2"/>
              </w:numPr>
              <w:ind w:left="314"/>
              <w:jc w:val="both"/>
            </w:pPr>
            <w:r>
              <w:t>Common position paper of energy intensive industries inspired by ZPPS.</w:t>
            </w:r>
          </w:p>
          <w:p w14:paraId="1FF923D5" w14:textId="77777777" w:rsidR="00194ECC" w:rsidRDefault="00194ECC" w:rsidP="00194ECC">
            <w:pPr>
              <w:pStyle w:val="Odstavecseseznamem"/>
              <w:numPr>
                <w:ilvl w:val="0"/>
                <w:numId w:val="2"/>
              </w:numPr>
              <w:ind w:left="314"/>
              <w:jc w:val="both"/>
            </w:pPr>
            <w:r>
              <w:t>MEP’s from “glass” regions and local authorities alerted.</w:t>
            </w:r>
          </w:p>
          <w:p w14:paraId="371879EA" w14:textId="77777777" w:rsidR="00194ECC" w:rsidRDefault="00194ECC" w:rsidP="00194ECC">
            <w:pPr>
              <w:pStyle w:val="Odstavecseseznamem"/>
              <w:numPr>
                <w:ilvl w:val="0"/>
                <w:numId w:val="2"/>
              </w:numPr>
              <w:ind w:left="314"/>
              <w:jc w:val="both"/>
            </w:pPr>
            <w:r>
              <w:t>Support from trade unions.</w:t>
            </w:r>
          </w:p>
          <w:p w14:paraId="15DB7C56" w14:textId="60123F6F" w:rsidR="00194ECC" w:rsidRPr="00200453" w:rsidRDefault="00194ECC" w:rsidP="00194ECC">
            <w:pPr>
              <w:pStyle w:val="Odstavecseseznamem"/>
              <w:numPr>
                <w:ilvl w:val="0"/>
                <w:numId w:val="2"/>
              </w:numPr>
              <w:ind w:left="314"/>
              <w:jc w:val="both"/>
            </w:pPr>
            <w:r>
              <w:t xml:space="preserve">First lobbying actions started in November 2021. </w:t>
            </w:r>
          </w:p>
        </w:tc>
      </w:tr>
    </w:tbl>
    <w:p w14:paraId="1EDB219D" w14:textId="4829FCAC" w:rsidR="002F656C" w:rsidRDefault="002F656C"/>
    <w:p w14:paraId="7360BA24" w14:textId="665AEE94" w:rsidR="00B4720D" w:rsidRDefault="00B4720D" w:rsidP="00B4720D"/>
    <w:p w14:paraId="497F961B" w14:textId="55C2283D" w:rsidR="00FC46A8" w:rsidRDefault="00FC46A8" w:rsidP="00B4720D"/>
    <w:p w14:paraId="148E912B" w14:textId="731087CF" w:rsidR="00FC46A8" w:rsidRDefault="00FC46A8" w:rsidP="00B4720D"/>
    <w:p w14:paraId="5C370EAD" w14:textId="473AF410" w:rsidR="00FC46A8" w:rsidRDefault="00FC46A8" w:rsidP="00B4720D"/>
    <w:tbl>
      <w:tblPr>
        <w:tblStyle w:val="Mkatabulky"/>
        <w:tblW w:w="14515" w:type="dxa"/>
        <w:tblLook w:val="04A0" w:firstRow="1" w:lastRow="0" w:firstColumn="1" w:lastColumn="0" w:noHBand="0" w:noVBand="1"/>
      </w:tblPr>
      <w:tblGrid>
        <w:gridCol w:w="1980"/>
        <w:gridCol w:w="3686"/>
        <w:gridCol w:w="4961"/>
        <w:gridCol w:w="3888"/>
      </w:tblGrid>
      <w:tr w:rsidR="00FC46A8" w14:paraId="5C9BC5C6" w14:textId="77777777" w:rsidTr="001D0D8D">
        <w:tc>
          <w:tcPr>
            <w:tcW w:w="1980" w:type="dxa"/>
          </w:tcPr>
          <w:p w14:paraId="351AD0F3" w14:textId="77777777" w:rsidR="00FC46A8" w:rsidRPr="00200453" w:rsidRDefault="00FC46A8" w:rsidP="001D0D8D">
            <w:pPr>
              <w:jc w:val="both"/>
              <w:rPr>
                <w:b/>
                <w:bCs/>
              </w:rPr>
            </w:pPr>
          </w:p>
        </w:tc>
        <w:tc>
          <w:tcPr>
            <w:tcW w:w="3686" w:type="dxa"/>
          </w:tcPr>
          <w:p w14:paraId="60CECA4D" w14:textId="77777777" w:rsidR="00FC46A8" w:rsidRPr="00200453" w:rsidRDefault="00FC46A8" w:rsidP="001D0D8D">
            <w:pPr>
              <w:jc w:val="center"/>
              <w:rPr>
                <w:b/>
                <w:bCs/>
                <w:smallCaps/>
                <w:u w:val="single"/>
              </w:rPr>
            </w:pPr>
            <w:r w:rsidRPr="00200453">
              <w:rPr>
                <w:b/>
                <w:bCs/>
                <w:smallCaps/>
                <w:u w:val="single"/>
              </w:rPr>
              <w:t>Energy price</w:t>
            </w:r>
          </w:p>
        </w:tc>
        <w:tc>
          <w:tcPr>
            <w:tcW w:w="4961" w:type="dxa"/>
          </w:tcPr>
          <w:p w14:paraId="7833C582" w14:textId="77777777" w:rsidR="00FC46A8" w:rsidRDefault="00FC46A8" w:rsidP="001D0D8D">
            <w:pPr>
              <w:jc w:val="center"/>
              <w:rPr>
                <w:b/>
                <w:bCs/>
                <w:u w:val="single"/>
              </w:rPr>
            </w:pPr>
            <w:r w:rsidRPr="00200453">
              <w:rPr>
                <w:b/>
                <w:bCs/>
                <w:smallCaps/>
                <w:u w:val="single"/>
              </w:rPr>
              <w:t xml:space="preserve">Energy </w:t>
            </w:r>
            <w:r>
              <w:rPr>
                <w:b/>
                <w:bCs/>
                <w:smallCaps/>
                <w:u w:val="single"/>
              </w:rPr>
              <w:t>contingency plans</w:t>
            </w:r>
          </w:p>
        </w:tc>
        <w:tc>
          <w:tcPr>
            <w:tcW w:w="3888" w:type="dxa"/>
          </w:tcPr>
          <w:p w14:paraId="752D0EC0" w14:textId="77777777" w:rsidR="00FC46A8" w:rsidRDefault="00FC46A8" w:rsidP="001D0D8D">
            <w:pPr>
              <w:jc w:val="center"/>
              <w:rPr>
                <w:b/>
                <w:bCs/>
                <w:u w:val="single"/>
              </w:rPr>
            </w:pPr>
            <w:r>
              <w:rPr>
                <w:b/>
                <w:bCs/>
                <w:smallCaps/>
                <w:u w:val="single"/>
              </w:rPr>
              <w:t>lobby / advocacy actions</w:t>
            </w:r>
          </w:p>
        </w:tc>
      </w:tr>
      <w:tr w:rsidR="00FC46A8" w14:paraId="68B38DA7" w14:textId="77777777" w:rsidTr="001D0D8D">
        <w:tc>
          <w:tcPr>
            <w:tcW w:w="1980" w:type="dxa"/>
          </w:tcPr>
          <w:p w14:paraId="5EFF17AB" w14:textId="77777777" w:rsidR="00FC46A8" w:rsidRDefault="00FC46A8" w:rsidP="001D0D8D">
            <w:pPr>
              <w:jc w:val="both"/>
              <w:rPr>
                <w:b/>
                <w:bCs/>
              </w:rPr>
            </w:pPr>
            <w:r>
              <w:rPr>
                <w:b/>
                <w:bCs/>
              </w:rPr>
              <w:t>Austria</w:t>
            </w:r>
          </w:p>
          <w:p w14:paraId="7B3BD3AF" w14:textId="77777777" w:rsidR="00FC46A8" w:rsidRPr="0095208C" w:rsidRDefault="00FC46A8" w:rsidP="001D0D8D">
            <w:pPr>
              <w:jc w:val="both"/>
              <w:rPr>
                <w:i/>
                <w:iCs/>
              </w:rPr>
            </w:pPr>
            <w:proofErr w:type="spellStart"/>
            <w:r>
              <w:rPr>
                <w:i/>
                <w:iCs/>
              </w:rPr>
              <w:t>Fachverband</w:t>
            </w:r>
            <w:proofErr w:type="spellEnd"/>
            <w:r>
              <w:rPr>
                <w:i/>
                <w:iCs/>
              </w:rPr>
              <w:t xml:space="preserve"> update: 21.04.2022</w:t>
            </w:r>
          </w:p>
          <w:p w14:paraId="4134D53D" w14:textId="77777777" w:rsidR="00FC46A8" w:rsidRDefault="00FC46A8" w:rsidP="001D0D8D">
            <w:pPr>
              <w:jc w:val="both"/>
              <w:rPr>
                <w:b/>
                <w:bCs/>
              </w:rPr>
            </w:pPr>
          </w:p>
          <w:p w14:paraId="22E557F5" w14:textId="77777777" w:rsidR="00FC46A8" w:rsidRDefault="00FC46A8" w:rsidP="001D0D8D">
            <w:pPr>
              <w:jc w:val="both"/>
              <w:rPr>
                <w:b/>
                <w:bCs/>
              </w:rPr>
            </w:pPr>
          </w:p>
          <w:p w14:paraId="536C20D4" w14:textId="77777777" w:rsidR="00FC46A8" w:rsidRDefault="00FC46A8" w:rsidP="001D0D8D">
            <w:pPr>
              <w:jc w:val="both"/>
              <w:rPr>
                <w:b/>
                <w:bCs/>
              </w:rPr>
            </w:pPr>
          </w:p>
          <w:p w14:paraId="76344226" w14:textId="77777777" w:rsidR="00FC46A8" w:rsidRDefault="00FC46A8" w:rsidP="001D0D8D">
            <w:pPr>
              <w:jc w:val="both"/>
              <w:rPr>
                <w:b/>
                <w:bCs/>
              </w:rPr>
            </w:pPr>
          </w:p>
          <w:p w14:paraId="4DDAA38A" w14:textId="77777777" w:rsidR="00FC46A8" w:rsidRDefault="00FC46A8" w:rsidP="001D0D8D">
            <w:pPr>
              <w:jc w:val="both"/>
              <w:rPr>
                <w:b/>
                <w:bCs/>
              </w:rPr>
            </w:pPr>
          </w:p>
          <w:p w14:paraId="57C0C929" w14:textId="77777777" w:rsidR="00FC46A8" w:rsidRPr="0095208C" w:rsidRDefault="00FC46A8" w:rsidP="001D0D8D">
            <w:pPr>
              <w:jc w:val="both"/>
              <w:rPr>
                <w:b/>
                <w:bCs/>
              </w:rPr>
            </w:pPr>
          </w:p>
        </w:tc>
        <w:tc>
          <w:tcPr>
            <w:tcW w:w="3686" w:type="dxa"/>
          </w:tcPr>
          <w:p w14:paraId="19F2168B" w14:textId="77777777" w:rsidR="00FC46A8" w:rsidRDefault="00FC46A8" w:rsidP="001D0D8D">
            <w:pPr>
              <w:jc w:val="both"/>
            </w:pPr>
            <w:r>
              <w:t xml:space="preserve">The </w:t>
            </w:r>
            <w:r w:rsidRPr="00316EC0">
              <w:t xml:space="preserve">green electricity costs </w:t>
            </w:r>
            <w:r>
              <w:t xml:space="preserve">will be suspended </w:t>
            </w:r>
            <w:r w:rsidRPr="00316EC0">
              <w:t>and set to zero for the year 2022</w:t>
            </w:r>
            <w:r w:rsidRPr="00163421">
              <w:rPr>
                <w:lang w:val="en-US"/>
              </w:rPr>
              <w:t xml:space="preserve"> </w:t>
            </w:r>
            <w:r w:rsidRPr="00163421">
              <w:t>for businesses and households</w:t>
            </w:r>
            <w:r w:rsidRPr="00316EC0">
              <w:t>.</w:t>
            </w:r>
            <w:r w:rsidRPr="00C4737B">
              <w:rPr>
                <w:lang w:val="en-US"/>
              </w:rPr>
              <w:t xml:space="preserve"> </w:t>
            </w:r>
            <w:r w:rsidRPr="00C4737B">
              <w:t>Usual</w:t>
            </w:r>
            <w:r>
              <w:t>l</w:t>
            </w:r>
            <w:r w:rsidRPr="00C4737B">
              <w:t>y an annual green electricity flat rate and a green electricity subsidy, which is consumption-dependent, has to be paid by energy customers to promote the expansion of renewable energies.</w:t>
            </w:r>
          </w:p>
          <w:p w14:paraId="77579481" w14:textId="77777777" w:rsidR="00FC46A8" w:rsidRDefault="00FC46A8" w:rsidP="001D0D8D">
            <w:pPr>
              <w:jc w:val="both"/>
            </w:pPr>
          </w:p>
          <w:p w14:paraId="75E91A09" w14:textId="77777777" w:rsidR="00FC46A8" w:rsidRDefault="00FC46A8" w:rsidP="001D0D8D">
            <w:pPr>
              <w:jc w:val="both"/>
            </w:pPr>
            <w:r>
              <w:t xml:space="preserve">A measure </w:t>
            </w:r>
            <w:r w:rsidRPr="00316EC0">
              <w:t>announced but not yet implemented</w:t>
            </w:r>
            <w:r>
              <w:t>: The r</w:t>
            </w:r>
            <w:r w:rsidRPr="00163421">
              <w:t xml:space="preserve">eduction of specific energy levies (natural gas levy and electricity levy) </w:t>
            </w:r>
            <w:r>
              <w:t>up to</w:t>
            </w:r>
            <w:r w:rsidRPr="00163421">
              <w:t xml:space="preserve"> 90</w:t>
            </w:r>
            <w:r>
              <w:t xml:space="preserve"> </w:t>
            </w:r>
            <w:r w:rsidRPr="00163421">
              <w:t>% by 30.6.2023.</w:t>
            </w:r>
          </w:p>
          <w:p w14:paraId="0A98D12C" w14:textId="77777777" w:rsidR="00FC46A8" w:rsidRPr="00200453" w:rsidRDefault="00FC46A8" w:rsidP="001D0D8D">
            <w:pPr>
              <w:jc w:val="both"/>
            </w:pPr>
          </w:p>
        </w:tc>
        <w:tc>
          <w:tcPr>
            <w:tcW w:w="4961" w:type="dxa"/>
          </w:tcPr>
          <w:p w14:paraId="239D28E1" w14:textId="77777777" w:rsidR="00FC46A8" w:rsidRPr="00053624" w:rsidRDefault="00FC46A8" w:rsidP="001D0D8D">
            <w:pPr>
              <w:jc w:val="both"/>
            </w:pPr>
            <w:r w:rsidRPr="00053624">
              <w:t>Individual levels of the contingency plan:</w:t>
            </w:r>
          </w:p>
          <w:p w14:paraId="5F35F370" w14:textId="77777777" w:rsidR="00FC46A8" w:rsidRPr="00053624" w:rsidRDefault="00FC46A8" w:rsidP="001D0D8D">
            <w:pPr>
              <w:jc w:val="both"/>
            </w:pPr>
          </w:p>
          <w:p w14:paraId="33C8F644" w14:textId="77777777" w:rsidR="00FC46A8" w:rsidRPr="00053624" w:rsidRDefault="00FC46A8" w:rsidP="001D0D8D">
            <w:pPr>
              <w:jc w:val="both"/>
              <w:rPr>
                <w:u w:val="single"/>
              </w:rPr>
            </w:pPr>
            <w:r w:rsidRPr="00053624">
              <w:rPr>
                <w:u w:val="single"/>
              </w:rPr>
              <w:t>Early Warning Level (Level 1):</w:t>
            </w:r>
          </w:p>
          <w:p w14:paraId="3F9C5BBB" w14:textId="77777777" w:rsidR="00FC46A8" w:rsidRPr="00053624" w:rsidRDefault="00FC46A8" w:rsidP="001D0D8D">
            <w:pPr>
              <w:jc w:val="both"/>
            </w:pPr>
            <w:r w:rsidRPr="00053624">
              <w:t>Level 1 is declared when there are concrete and reliable indications that there could be a deterioration in gas supply. Since March 30, 2022, the early warning level for the Austrian gas supply has been in effect due to the developments in connection with the Ukraine war. In the early warning stage, the main focus is on closer monitoring of the gas market and analysis of the situation, as well as information and communication to and with the relevant national and European bodies.</w:t>
            </w:r>
          </w:p>
          <w:p w14:paraId="6C77E448" w14:textId="77777777" w:rsidR="00FC46A8" w:rsidRPr="00053624" w:rsidRDefault="00FC46A8" w:rsidP="001D0D8D">
            <w:pPr>
              <w:jc w:val="both"/>
              <w:rPr>
                <w:u w:val="single"/>
              </w:rPr>
            </w:pPr>
            <w:r w:rsidRPr="00053624">
              <w:rPr>
                <w:u w:val="single"/>
              </w:rPr>
              <w:t>Alert Level (Level 2):</w:t>
            </w:r>
          </w:p>
          <w:p w14:paraId="4E7D85B5" w14:textId="77777777" w:rsidR="00FC46A8" w:rsidRPr="00053624" w:rsidRDefault="00FC46A8" w:rsidP="001D0D8D">
            <w:pPr>
              <w:jc w:val="both"/>
            </w:pPr>
            <w:r w:rsidRPr="00053624">
              <w:t>The alert level is declared if the probability of a deterioration of the gas supply situation increases, e.g. due to the concrete announcement of official, responsible sources of supply restrictions or supply stoppage. Voluntary energy reductions will be used to reduce gas consumption. Industry is also encouraged to use alternatives to natural gas where possible.</w:t>
            </w:r>
          </w:p>
          <w:p w14:paraId="407F4BCB" w14:textId="77777777" w:rsidR="00FC46A8" w:rsidRPr="00053624" w:rsidRDefault="00FC46A8" w:rsidP="001D0D8D">
            <w:pPr>
              <w:jc w:val="both"/>
              <w:rPr>
                <w:u w:val="single"/>
              </w:rPr>
            </w:pPr>
            <w:r w:rsidRPr="00053624">
              <w:rPr>
                <w:u w:val="single"/>
              </w:rPr>
              <w:t>Emergency Level (Level 3):</w:t>
            </w:r>
          </w:p>
          <w:p w14:paraId="6E8B78D2" w14:textId="77777777" w:rsidR="00FC46A8" w:rsidRPr="00053624" w:rsidRDefault="00FC46A8" w:rsidP="001D0D8D">
            <w:pPr>
              <w:jc w:val="both"/>
            </w:pPr>
            <w:r w:rsidRPr="00053624">
              <w:t xml:space="preserve">The declaration of an emergency level may be necessary when there is a high probability that gas supply constraints will occur and current demand cannot be met through market-based measures. Gas </w:t>
            </w:r>
            <w:r w:rsidRPr="00053624">
              <w:lastRenderedPageBreak/>
              <w:t xml:space="preserve">consumers can be obliged to reduce gas consumption on the basis of an ordinance. The enactment of such an ordinance is possible at short notice through parliamentary stages. Priority is given to supply sufficient heat to households and basic social services as protected customers. All other gas consumers such as companies may be temporarily excluded from or restricted in gas supply without further proceedings. </w:t>
            </w:r>
          </w:p>
          <w:p w14:paraId="77A6F477" w14:textId="77777777" w:rsidR="00FC46A8" w:rsidRPr="00053624" w:rsidRDefault="00FC46A8" w:rsidP="001D0D8D">
            <w:pPr>
              <w:jc w:val="both"/>
            </w:pPr>
          </w:p>
          <w:p w14:paraId="5AFD73E3" w14:textId="77777777" w:rsidR="00FC46A8" w:rsidRPr="00200453" w:rsidRDefault="00FC46A8" w:rsidP="001D0D8D">
            <w:pPr>
              <w:jc w:val="both"/>
            </w:pPr>
            <w:r w:rsidRPr="00053624">
              <w:t>There is no specific focus on individual sectors like the glass industry regarding the criteria for the reduction measures but benefit maximization on the one hand and harm minimization on the other would be the guiding principles.</w:t>
            </w:r>
          </w:p>
        </w:tc>
        <w:tc>
          <w:tcPr>
            <w:tcW w:w="3888" w:type="dxa"/>
          </w:tcPr>
          <w:p w14:paraId="4853B2A4" w14:textId="77777777" w:rsidR="00FC46A8" w:rsidRDefault="00FC46A8" w:rsidP="001D0D8D">
            <w:pPr>
              <w:jc w:val="both"/>
            </w:pPr>
            <w:r>
              <w:lastRenderedPageBreak/>
              <w:t xml:space="preserve">National competent authorities and ministries are by now mostly aware of the special situation in the glass industry and the need of continuous gas supply to avoid total damage. </w:t>
            </w:r>
          </w:p>
          <w:p w14:paraId="4DF91BFD" w14:textId="77777777" w:rsidR="00FC46A8" w:rsidRPr="00200453" w:rsidRDefault="00FC46A8" w:rsidP="001D0D8D">
            <w:pPr>
              <w:jc w:val="both"/>
            </w:pPr>
            <w:r>
              <w:t>Whenever we have the opportunity (meetings, questionnaires, media reports etc.), we refer to the special energy needs in the glass industry.</w:t>
            </w:r>
          </w:p>
        </w:tc>
      </w:tr>
    </w:tbl>
    <w:p w14:paraId="3BB1F543" w14:textId="77777777" w:rsidR="00FC46A8" w:rsidRDefault="00FC46A8" w:rsidP="00B4720D"/>
    <w:tbl>
      <w:tblPr>
        <w:tblStyle w:val="Mkatabulky"/>
        <w:tblW w:w="0" w:type="auto"/>
        <w:tblLook w:val="04A0" w:firstRow="1" w:lastRow="0" w:firstColumn="1" w:lastColumn="0" w:noHBand="0" w:noVBand="1"/>
      </w:tblPr>
      <w:tblGrid>
        <w:gridCol w:w="2263"/>
        <w:gridCol w:w="3686"/>
        <w:gridCol w:w="4111"/>
        <w:gridCol w:w="3888"/>
      </w:tblGrid>
      <w:tr w:rsidR="00FC46A8" w14:paraId="52BEFE62" w14:textId="77777777" w:rsidTr="001D0D8D">
        <w:tc>
          <w:tcPr>
            <w:tcW w:w="2263" w:type="dxa"/>
          </w:tcPr>
          <w:p w14:paraId="0C329738" w14:textId="77777777" w:rsidR="00FC46A8" w:rsidRPr="00200453" w:rsidRDefault="00FC46A8" w:rsidP="001D0D8D">
            <w:pPr>
              <w:jc w:val="both"/>
              <w:rPr>
                <w:b/>
                <w:bCs/>
              </w:rPr>
            </w:pPr>
          </w:p>
        </w:tc>
        <w:tc>
          <w:tcPr>
            <w:tcW w:w="3686" w:type="dxa"/>
          </w:tcPr>
          <w:p w14:paraId="0BDFFA77" w14:textId="77777777" w:rsidR="00FC46A8" w:rsidRPr="00200453" w:rsidRDefault="00FC46A8" w:rsidP="001D0D8D">
            <w:pPr>
              <w:jc w:val="center"/>
              <w:rPr>
                <w:b/>
                <w:bCs/>
                <w:smallCaps/>
                <w:u w:val="single"/>
              </w:rPr>
            </w:pPr>
            <w:r w:rsidRPr="00200453">
              <w:rPr>
                <w:b/>
                <w:bCs/>
                <w:smallCaps/>
                <w:u w:val="single"/>
              </w:rPr>
              <w:t>Energy price</w:t>
            </w:r>
          </w:p>
        </w:tc>
        <w:tc>
          <w:tcPr>
            <w:tcW w:w="4111" w:type="dxa"/>
          </w:tcPr>
          <w:p w14:paraId="2A9866C5" w14:textId="77777777" w:rsidR="00FC46A8" w:rsidRDefault="00FC46A8" w:rsidP="001D0D8D">
            <w:pPr>
              <w:jc w:val="center"/>
              <w:rPr>
                <w:b/>
                <w:bCs/>
                <w:u w:val="single"/>
              </w:rPr>
            </w:pPr>
            <w:r w:rsidRPr="00200453">
              <w:rPr>
                <w:b/>
                <w:bCs/>
                <w:smallCaps/>
                <w:u w:val="single"/>
              </w:rPr>
              <w:t xml:space="preserve">Energy </w:t>
            </w:r>
            <w:r>
              <w:rPr>
                <w:b/>
                <w:bCs/>
                <w:smallCaps/>
                <w:u w:val="single"/>
              </w:rPr>
              <w:t>contingency plans</w:t>
            </w:r>
          </w:p>
        </w:tc>
        <w:tc>
          <w:tcPr>
            <w:tcW w:w="3888" w:type="dxa"/>
          </w:tcPr>
          <w:p w14:paraId="33AB6E9B" w14:textId="77777777" w:rsidR="00FC46A8" w:rsidRDefault="00FC46A8" w:rsidP="001D0D8D">
            <w:pPr>
              <w:jc w:val="center"/>
              <w:rPr>
                <w:b/>
                <w:bCs/>
                <w:u w:val="single"/>
              </w:rPr>
            </w:pPr>
            <w:r>
              <w:rPr>
                <w:b/>
                <w:bCs/>
                <w:smallCaps/>
                <w:u w:val="single"/>
              </w:rPr>
              <w:t>lobby / advocacy actions</w:t>
            </w:r>
          </w:p>
        </w:tc>
      </w:tr>
      <w:tr w:rsidR="00FC46A8" w14:paraId="65D9F30F" w14:textId="77777777" w:rsidTr="001D0D8D">
        <w:tc>
          <w:tcPr>
            <w:tcW w:w="2263" w:type="dxa"/>
          </w:tcPr>
          <w:p w14:paraId="0431D9C9" w14:textId="77777777" w:rsidR="00FC46A8" w:rsidRDefault="00FC46A8" w:rsidP="001D0D8D">
            <w:pPr>
              <w:jc w:val="both"/>
              <w:rPr>
                <w:b/>
                <w:bCs/>
              </w:rPr>
            </w:pPr>
            <w:r w:rsidRPr="00200453">
              <w:rPr>
                <w:b/>
                <w:bCs/>
              </w:rPr>
              <w:t>Belgium</w:t>
            </w:r>
          </w:p>
          <w:p w14:paraId="077CA1E1" w14:textId="77777777" w:rsidR="00FC46A8" w:rsidRPr="0095208C" w:rsidRDefault="00FC46A8" w:rsidP="001D0D8D">
            <w:pPr>
              <w:jc w:val="both"/>
              <w:rPr>
                <w:i/>
                <w:iCs/>
                <w:lang w:val="fr-BE"/>
              </w:rPr>
            </w:pPr>
            <w:proofErr w:type="spellStart"/>
            <w:r>
              <w:rPr>
                <w:i/>
                <w:iCs/>
                <w:lang w:val="fr-BE"/>
              </w:rPr>
              <w:t>Indufed</w:t>
            </w:r>
            <w:proofErr w:type="spellEnd"/>
            <w:r>
              <w:rPr>
                <w:i/>
                <w:iCs/>
                <w:lang w:val="fr-BE"/>
              </w:rPr>
              <w:t xml:space="preserve"> </w:t>
            </w:r>
            <w:r w:rsidRPr="0095208C">
              <w:rPr>
                <w:i/>
                <w:iCs/>
                <w:lang w:val="fr-BE"/>
              </w:rPr>
              <w:t>Update</w:t>
            </w:r>
            <w:r>
              <w:rPr>
                <w:i/>
                <w:iCs/>
                <w:lang w:val="fr-BE"/>
              </w:rPr>
              <w:t xml:space="preserve"> </w:t>
            </w:r>
          </w:p>
          <w:p w14:paraId="535AEE82" w14:textId="77777777" w:rsidR="00FC46A8" w:rsidRDefault="00FC46A8" w:rsidP="001D0D8D">
            <w:pPr>
              <w:jc w:val="both"/>
              <w:rPr>
                <w:b/>
                <w:bCs/>
              </w:rPr>
            </w:pPr>
          </w:p>
          <w:p w14:paraId="627CCCCA" w14:textId="77777777" w:rsidR="00FC46A8" w:rsidRDefault="00FC46A8" w:rsidP="001D0D8D">
            <w:pPr>
              <w:jc w:val="both"/>
              <w:rPr>
                <w:b/>
                <w:bCs/>
              </w:rPr>
            </w:pPr>
          </w:p>
          <w:p w14:paraId="68C939DF" w14:textId="77777777" w:rsidR="00FC46A8" w:rsidRDefault="00FC46A8" w:rsidP="001D0D8D">
            <w:pPr>
              <w:jc w:val="both"/>
              <w:rPr>
                <w:b/>
                <w:bCs/>
              </w:rPr>
            </w:pPr>
          </w:p>
          <w:p w14:paraId="0ABE0DB6" w14:textId="77777777" w:rsidR="00FC46A8" w:rsidRDefault="00FC46A8" w:rsidP="001D0D8D">
            <w:pPr>
              <w:jc w:val="both"/>
              <w:rPr>
                <w:b/>
                <w:bCs/>
              </w:rPr>
            </w:pPr>
          </w:p>
          <w:p w14:paraId="3820AF99" w14:textId="77777777" w:rsidR="00FC46A8" w:rsidRDefault="00FC46A8" w:rsidP="001D0D8D">
            <w:pPr>
              <w:jc w:val="both"/>
              <w:rPr>
                <w:b/>
                <w:bCs/>
              </w:rPr>
            </w:pPr>
          </w:p>
          <w:p w14:paraId="58FD4810" w14:textId="77777777" w:rsidR="00FC46A8" w:rsidRDefault="00FC46A8" w:rsidP="001D0D8D">
            <w:pPr>
              <w:jc w:val="both"/>
              <w:rPr>
                <w:b/>
                <w:bCs/>
              </w:rPr>
            </w:pPr>
          </w:p>
          <w:p w14:paraId="07C27298" w14:textId="77777777" w:rsidR="00FC46A8" w:rsidRPr="00200453" w:rsidRDefault="00FC46A8" w:rsidP="001D0D8D">
            <w:pPr>
              <w:jc w:val="both"/>
              <w:rPr>
                <w:b/>
                <w:bCs/>
              </w:rPr>
            </w:pPr>
          </w:p>
        </w:tc>
        <w:tc>
          <w:tcPr>
            <w:tcW w:w="3686" w:type="dxa"/>
          </w:tcPr>
          <w:p w14:paraId="49B2F075" w14:textId="77777777" w:rsidR="00FC46A8" w:rsidRPr="00200453" w:rsidRDefault="00FC46A8" w:rsidP="001D0D8D">
            <w:pPr>
              <w:jc w:val="both"/>
            </w:pPr>
            <w:r>
              <w:t>Nihil</w:t>
            </w:r>
          </w:p>
        </w:tc>
        <w:tc>
          <w:tcPr>
            <w:tcW w:w="4111" w:type="dxa"/>
          </w:tcPr>
          <w:p w14:paraId="70BF9E07" w14:textId="77777777" w:rsidR="00FC46A8" w:rsidRPr="00200453" w:rsidRDefault="00FC46A8" w:rsidP="001D0D8D">
            <w:pPr>
              <w:jc w:val="both"/>
            </w:pPr>
            <w:r>
              <w:t>Contingency plans (gas) foresee to have a contact with “all stakeholders” in case of shortages – however industry will be the first to have to cut down its consumption; first phase would be on a voluntary basis, second phase on a compulsory basis (the network manager would simply reduce or shut down the supply to specific factories). A number of SEVESO companies could get a favourable treatment if possible. The different phases are decided by the Federal Energy Minister.</w:t>
            </w:r>
          </w:p>
        </w:tc>
        <w:tc>
          <w:tcPr>
            <w:tcW w:w="3888" w:type="dxa"/>
          </w:tcPr>
          <w:p w14:paraId="021E7778" w14:textId="77777777" w:rsidR="00FC46A8" w:rsidRPr="00200453" w:rsidRDefault="00FC46A8" w:rsidP="001D0D8D">
            <w:pPr>
              <w:jc w:val="both"/>
            </w:pPr>
            <w:proofErr w:type="spellStart"/>
            <w:r>
              <w:t>inDUfed</w:t>
            </w:r>
            <w:proofErr w:type="spellEnd"/>
            <w:r>
              <w:t xml:space="preserve"> has anticipated the bad news included in the emergency plan by alerting the Prime Minister’s office, the interprofessional federation of Belgian companies and the federal administration to the special case that glass production (glass furnaces) represent. Our aim is to add the glass furnaces to the SEVESO companies.</w:t>
            </w:r>
          </w:p>
        </w:tc>
      </w:tr>
    </w:tbl>
    <w:p w14:paraId="754E76B1" w14:textId="77777777" w:rsidR="00FC46A8" w:rsidRDefault="00FC46A8" w:rsidP="00FC46A8"/>
    <w:p w14:paraId="0DC21AD2" w14:textId="3AB111D9" w:rsidR="00FC46A8" w:rsidRDefault="00FC46A8" w:rsidP="00B4720D"/>
    <w:p w14:paraId="36067CB0" w14:textId="31EA3106" w:rsidR="00FC46A8" w:rsidRDefault="00FC46A8" w:rsidP="00B4720D"/>
    <w:p w14:paraId="006778CB" w14:textId="1C91AD69" w:rsidR="00FC46A8" w:rsidRDefault="00FC46A8" w:rsidP="00B4720D"/>
    <w:tbl>
      <w:tblPr>
        <w:tblStyle w:val="Mkatabulky"/>
        <w:tblW w:w="0" w:type="auto"/>
        <w:tblLook w:val="04A0" w:firstRow="1" w:lastRow="0" w:firstColumn="1" w:lastColumn="0" w:noHBand="0" w:noVBand="1"/>
      </w:tblPr>
      <w:tblGrid>
        <w:gridCol w:w="2263"/>
        <w:gridCol w:w="3686"/>
        <w:gridCol w:w="4111"/>
        <w:gridCol w:w="3888"/>
      </w:tblGrid>
      <w:tr w:rsidR="0095208C" w14:paraId="3E9C1102" w14:textId="77777777" w:rsidTr="0095208C">
        <w:tc>
          <w:tcPr>
            <w:tcW w:w="2263" w:type="dxa"/>
          </w:tcPr>
          <w:p w14:paraId="5ABD0164" w14:textId="77777777" w:rsidR="0095208C" w:rsidRPr="00200453" w:rsidRDefault="0095208C" w:rsidP="00717824">
            <w:pPr>
              <w:jc w:val="both"/>
              <w:rPr>
                <w:b/>
                <w:bCs/>
              </w:rPr>
            </w:pPr>
          </w:p>
        </w:tc>
        <w:tc>
          <w:tcPr>
            <w:tcW w:w="3686" w:type="dxa"/>
          </w:tcPr>
          <w:p w14:paraId="1FEB3245" w14:textId="77777777" w:rsidR="0095208C" w:rsidRPr="00200453" w:rsidRDefault="0095208C" w:rsidP="00717824">
            <w:pPr>
              <w:jc w:val="center"/>
              <w:rPr>
                <w:b/>
                <w:bCs/>
                <w:smallCaps/>
                <w:u w:val="single"/>
              </w:rPr>
            </w:pPr>
            <w:r w:rsidRPr="00200453">
              <w:rPr>
                <w:b/>
                <w:bCs/>
                <w:smallCaps/>
                <w:u w:val="single"/>
              </w:rPr>
              <w:t>Energy price</w:t>
            </w:r>
          </w:p>
        </w:tc>
        <w:tc>
          <w:tcPr>
            <w:tcW w:w="4111" w:type="dxa"/>
          </w:tcPr>
          <w:p w14:paraId="1CF44BD9" w14:textId="77777777" w:rsidR="0095208C" w:rsidRDefault="0095208C" w:rsidP="00717824">
            <w:pPr>
              <w:jc w:val="center"/>
              <w:rPr>
                <w:b/>
                <w:bCs/>
                <w:u w:val="single"/>
              </w:rPr>
            </w:pPr>
            <w:r w:rsidRPr="00200453">
              <w:rPr>
                <w:b/>
                <w:bCs/>
                <w:smallCaps/>
                <w:u w:val="single"/>
              </w:rPr>
              <w:t xml:space="preserve">Energy </w:t>
            </w:r>
            <w:r>
              <w:rPr>
                <w:b/>
                <w:bCs/>
                <w:smallCaps/>
                <w:u w:val="single"/>
              </w:rPr>
              <w:t>contingency plans</w:t>
            </w:r>
          </w:p>
        </w:tc>
        <w:tc>
          <w:tcPr>
            <w:tcW w:w="3888" w:type="dxa"/>
          </w:tcPr>
          <w:p w14:paraId="630E81F2" w14:textId="77777777" w:rsidR="0095208C" w:rsidRDefault="0095208C" w:rsidP="00717824">
            <w:pPr>
              <w:jc w:val="center"/>
              <w:rPr>
                <w:b/>
                <w:bCs/>
                <w:u w:val="single"/>
              </w:rPr>
            </w:pPr>
            <w:r>
              <w:rPr>
                <w:b/>
                <w:bCs/>
                <w:smallCaps/>
                <w:u w:val="single"/>
              </w:rPr>
              <w:t>lobby / advocacy actions</w:t>
            </w:r>
          </w:p>
        </w:tc>
      </w:tr>
      <w:tr w:rsidR="002F656C" w14:paraId="24740683" w14:textId="77777777" w:rsidTr="00200453">
        <w:tc>
          <w:tcPr>
            <w:tcW w:w="2263" w:type="dxa"/>
          </w:tcPr>
          <w:p w14:paraId="2795A718" w14:textId="77777777" w:rsidR="002F656C" w:rsidRDefault="002F656C" w:rsidP="002F656C">
            <w:pPr>
              <w:jc w:val="both"/>
              <w:rPr>
                <w:b/>
                <w:bCs/>
              </w:rPr>
            </w:pPr>
            <w:r w:rsidRPr="0095208C">
              <w:rPr>
                <w:b/>
                <w:bCs/>
              </w:rPr>
              <w:t>Spain</w:t>
            </w:r>
          </w:p>
          <w:p w14:paraId="333800A3" w14:textId="77777777" w:rsidR="002F656C" w:rsidRPr="00B50AFC" w:rsidRDefault="002F656C" w:rsidP="002F656C">
            <w:pPr>
              <w:jc w:val="both"/>
              <w:rPr>
                <w:i/>
                <w:iCs/>
              </w:rPr>
            </w:pPr>
            <w:r>
              <w:rPr>
                <w:i/>
                <w:iCs/>
              </w:rPr>
              <w:t>Vidrio España update:</w:t>
            </w:r>
          </w:p>
          <w:p w14:paraId="067D3A8B" w14:textId="77777777" w:rsidR="002F656C" w:rsidRDefault="002F656C" w:rsidP="002F656C">
            <w:pPr>
              <w:jc w:val="both"/>
              <w:rPr>
                <w:b/>
                <w:bCs/>
              </w:rPr>
            </w:pPr>
          </w:p>
          <w:p w14:paraId="0D3BAB5C" w14:textId="77777777" w:rsidR="002F656C" w:rsidRDefault="002F656C" w:rsidP="002F656C">
            <w:pPr>
              <w:jc w:val="both"/>
              <w:rPr>
                <w:b/>
                <w:bCs/>
              </w:rPr>
            </w:pPr>
          </w:p>
          <w:p w14:paraId="45299920" w14:textId="77777777" w:rsidR="002F656C" w:rsidRDefault="002F656C" w:rsidP="002F656C">
            <w:pPr>
              <w:jc w:val="both"/>
              <w:rPr>
                <w:b/>
                <w:bCs/>
              </w:rPr>
            </w:pPr>
          </w:p>
          <w:p w14:paraId="67E43D02" w14:textId="77777777" w:rsidR="002F656C" w:rsidRDefault="002F656C" w:rsidP="002F656C">
            <w:pPr>
              <w:jc w:val="both"/>
              <w:rPr>
                <w:b/>
                <w:bCs/>
              </w:rPr>
            </w:pPr>
          </w:p>
          <w:p w14:paraId="3A057482" w14:textId="77777777" w:rsidR="002F656C" w:rsidRDefault="002F656C" w:rsidP="002F656C">
            <w:pPr>
              <w:jc w:val="both"/>
              <w:rPr>
                <w:b/>
                <w:bCs/>
              </w:rPr>
            </w:pPr>
          </w:p>
          <w:p w14:paraId="453ADD8B" w14:textId="77777777" w:rsidR="002F656C" w:rsidRPr="0095208C" w:rsidRDefault="002F656C" w:rsidP="002F656C">
            <w:pPr>
              <w:jc w:val="both"/>
              <w:rPr>
                <w:b/>
                <w:bCs/>
              </w:rPr>
            </w:pPr>
          </w:p>
        </w:tc>
        <w:tc>
          <w:tcPr>
            <w:tcW w:w="3686" w:type="dxa"/>
          </w:tcPr>
          <w:p w14:paraId="7E535F96" w14:textId="77777777" w:rsidR="002F656C" w:rsidRDefault="002F656C" w:rsidP="002F656C">
            <w:r w:rsidRPr="00855E68">
              <w:t xml:space="preserve">• </w:t>
            </w:r>
            <w:r w:rsidRPr="00855E68">
              <w:rPr>
                <w:b/>
                <w:bCs/>
              </w:rPr>
              <w:t>Royal Decree-law</w:t>
            </w:r>
            <w:r w:rsidRPr="00B411BC">
              <w:t xml:space="preserve"> by which urgent measures were adopted within the framework of the National Plan to respond to the economic and social consequences of the war in Ukraine: </w:t>
            </w:r>
            <w:hyperlink r:id="rId22" w:anchor="energia" w:history="1">
              <w:r w:rsidRPr="00855E68">
                <w:rPr>
                  <w:rStyle w:val="Hypertextovodkaz"/>
                </w:rPr>
                <w:t>Link</w:t>
              </w:r>
            </w:hyperlink>
          </w:p>
          <w:p w14:paraId="5F86FED1" w14:textId="77777777" w:rsidR="002F656C" w:rsidRPr="00855E68" w:rsidRDefault="002F656C" w:rsidP="002F656C">
            <w:pPr>
              <w:rPr>
                <w:b/>
                <w:bCs/>
              </w:rPr>
            </w:pPr>
            <w:r w:rsidRPr="00B411BC">
              <w:t xml:space="preserve">Among others, this includes </w:t>
            </w:r>
            <w:r w:rsidRPr="002D5CFA">
              <w:t>direct aid for specific sectors: paper and cardboard, glass and ceramics. A fixed amount that will depend on their activity sector and their number of employees, with a maximum of 400,000 euros, determined by the European Framework. €2,600 per worker for the glass industry.</w:t>
            </w:r>
          </w:p>
          <w:p w14:paraId="58EA858B" w14:textId="77777777" w:rsidR="002F656C" w:rsidRPr="00B411BC" w:rsidRDefault="002F656C" w:rsidP="002F656C"/>
          <w:p w14:paraId="38121BBC" w14:textId="77777777" w:rsidR="002F656C" w:rsidRPr="00B411BC" w:rsidRDefault="002F656C" w:rsidP="002F656C">
            <w:r w:rsidRPr="00855E68">
              <w:t xml:space="preserve">• </w:t>
            </w:r>
            <w:r w:rsidRPr="00855E68">
              <w:rPr>
                <w:b/>
                <w:bCs/>
              </w:rPr>
              <w:t>Spain and Portugal - ‘energy island’:</w:t>
            </w:r>
            <w:r w:rsidRPr="00B411BC">
              <w:t xml:space="preserve"> joint proposal to Brussels for setting a maximum price of €30 per megawatt (MWh) for gas-fired power plants to lower the cost of electricity.</w:t>
            </w:r>
          </w:p>
          <w:p w14:paraId="7E51F9BB" w14:textId="77777777" w:rsidR="002F656C" w:rsidRPr="00200453" w:rsidRDefault="002F656C" w:rsidP="002F656C">
            <w:pPr>
              <w:jc w:val="both"/>
            </w:pPr>
          </w:p>
        </w:tc>
        <w:tc>
          <w:tcPr>
            <w:tcW w:w="4111" w:type="dxa"/>
          </w:tcPr>
          <w:p w14:paraId="29BEC6E7" w14:textId="77777777" w:rsidR="002F656C" w:rsidRDefault="002F656C" w:rsidP="002F656C">
            <w:r w:rsidRPr="00855E68">
              <w:t xml:space="preserve">• </w:t>
            </w:r>
            <w:r w:rsidRPr="00A76E7D">
              <w:t xml:space="preserve">Spain has </w:t>
            </w:r>
            <w:r w:rsidRPr="00855E68">
              <w:rPr>
                <w:b/>
                <w:bCs/>
              </w:rPr>
              <w:t>increased energy reserves to 7.5 days</w:t>
            </w:r>
            <w:r w:rsidRPr="00A76E7D">
              <w:t xml:space="preserve"> to try not to stress the markets and lower gas prices.</w:t>
            </w:r>
          </w:p>
          <w:p w14:paraId="16E149F6" w14:textId="77777777" w:rsidR="002F656C" w:rsidRPr="00A76E7D" w:rsidRDefault="002F656C" w:rsidP="002F656C"/>
          <w:p w14:paraId="29E66BC7" w14:textId="5BDF2520" w:rsidR="002F656C" w:rsidRPr="00200453" w:rsidRDefault="002F656C" w:rsidP="002F656C">
            <w:pPr>
              <w:jc w:val="both"/>
            </w:pPr>
            <w:r w:rsidRPr="00855E68">
              <w:t>Vidrio España has carried out lobby ac</w:t>
            </w:r>
            <w:r>
              <w:t xml:space="preserve">tions to insist in the </w:t>
            </w:r>
            <w:r>
              <w:rPr>
                <w:rFonts w:eastAsia="Times New Roman"/>
              </w:rPr>
              <w:t>need for continuous supply.</w:t>
            </w:r>
          </w:p>
        </w:tc>
        <w:tc>
          <w:tcPr>
            <w:tcW w:w="3888" w:type="dxa"/>
          </w:tcPr>
          <w:p w14:paraId="1AA036C3" w14:textId="77777777" w:rsidR="002F656C" w:rsidRPr="00855E68" w:rsidRDefault="002F656C" w:rsidP="002F656C">
            <w:r w:rsidRPr="00855E68">
              <w:t xml:space="preserve">• 03/25/2022- </w:t>
            </w:r>
            <w:r w:rsidRPr="00855E68">
              <w:rPr>
                <w:b/>
                <w:bCs/>
              </w:rPr>
              <w:t>Meeting of sectoral associations with the Ministry of Ecological Transition</w:t>
            </w:r>
            <w:r w:rsidRPr="00855E68">
              <w:t xml:space="preserve">: to address energy problems </w:t>
            </w:r>
            <w:r>
              <w:t>a</w:t>
            </w:r>
            <w:r w:rsidRPr="00855E68">
              <w:t>s</w:t>
            </w:r>
            <w:r>
              <w:t xml:space="preserve"> well as</w:t>
            </w:r>
            <w:r w:rsidRPr="00855E68">
              <w:t xml:space="preserve"> national and European negotiations to resolve them.</w:t>
            </w:r>
          </w:p>
          <w:p w14:paraId="0F618D2B" w14:textId="77777777" w:rsidR="002F656C" w:rsidRPr="00177EAA" w:rsidRDefault="002F656C" w:rsidP="002F656C">
            <w:r w:rsidRPr="00855E68">
              <w:t xml:space="preserve">• 03/30/2022- </w:t>
            </w:r>
            <w:r w:rsidRPr="00855E68">
              <w:rPr>
                <w:b/>
                <w:bCs/>
              </w:rPr>
              <w:t>Meeting of sectoral associations with the Ministry of Industry:</w:t>
            </w:r>
            <w:r w:rsidRPr="00855E68">
              <w:t xml:space="preserve"> informative meeting on aid</w:t>
            </w:r>
            <w:r>
              <w:t>s</w:t>
            </w:r>
            <w:r w:rsidRPr="00855E68">
              <w:t xml:space="preserve"> as a result of the war in Ukraine</w:t>
            </w:r>
            <w:r>
              <w:t xml:space="preserve"> (Royal Decree-law).</w:t>
            </w:r>
          </w:p>
          <w:p w14:paraId="2C71522F" w14:textId="77777777" w:rsidR="002F656C" w:rsidRPr="00177EAA" w:rsidRDefault="002F656C" w:rsidP="002F656C">
            <w:r w:rsidRPr="00177EAA">
              <w:t xml:space="preserve">• 04/08/2022 – </w:t>
            </w:r>
            <w:r w:rsidRPr="00177EAA">
              <w:rPr>
                <w:b/>
                <w:bCs/>
              </w:rPr>
              <w:t>Meeting of VIDRIO ESPAÑA/ANFEVI with the Ministry of Industry:</w:t>
            </w:r>
            <w:r w:rsidRPr="00177EAA">
              <w:t xml:space="preserve"> to </w:t>
            </w:r>
            <w:r>
              <w:t>convey</w:t>
            </w:r>
            <w:r w:rsidRPr="00177EAA">
              <w:t xml:space="preserve"> the </w:t>
            </w:r>
            <w:r>
              <w:t>energy requirements</w:t>
            </w:r>
            <w:r w:rsidRPr="00177EAA">
              <w:t xml:space="preserve"> of the</w:t>
            </w:r>
            <w:r>
              <w:t xml:space="preserve"> glass</w:t>
            </w:r>
            <w:r w:rsidRPr="00177EAA">
              <w:t xml:space="preserve"> sector</w:t>
            </w:r>
            <w:r>
              <w:t xml:space="preserve">, and the </w:t>
            </w:r>
            <w:r w:rsidRPr="00177EAA">
              <w:t>crisis</w:t>
            </w:r>
            <w:r>
              <w:t xml:space="preserve"> it is facing </w:t>
            </w:r>
            <w:r w:rsidRPr="00177EAA">
              <w:t>regarding energy prices</w:t>
            </w:r>
            <w:r>
              <w:t>.</w:t>
            </w:r>
          </w:p>
          <w:p w14:paraId="07C17A0D" w14:textId="77777777" w:rsidR="002F656C" w:rsidRPr="00200453" w:rsidRDefault="002F656C" w:rsidP="002F656C">
            <w:pPr>
              <w:jc w:val="both"/>
            </w:pPr>
          </w:p>
        </w:tc>
      </w:tr>
    </w:tbl>
    <w:p w14:paraId="6644E773" w14:textId="6549CAE9" w:rsidR="002F656C" w:rsidRDefault="002F656C"/>
    <w:p w14:paraId="4EC7B97D" w14:textId="71973A07" w:rsidR="00B4720D" w:rsidRDefault="00B4720D" w:rsidP="00B4720D"/>
    <w:p w14:paraId="519A1694" w14:textId="1F61054F" w:rsidR="00B4720D" w:rsidRDefault="00B4720D" w:rsidP="00B4720D"/>
    <w:p w14:paraId="68155D7F" w14:textId="692B19DE" w:rsidR="00B4720D" w:rsidRDefault="00B4720D" w:rsidP="00B4720D"/>
    <w:p w14:paraId="603281FA" w14:textId="77777777" w:rsidR="00FC46A8" w:rsidRDefault="00FC46A8" w:rsidP="00FC46A8"/>
    <w:p w14:paraId="0CB12BB7" w14:textId="77777777" w:rsidR="00FC46A8" w:rsidRDefault="00FC46A8" w:rsidP="00FC46A8"/>
    <w:p w14:paraId="03E6C16F" w14:textId="77777777" w:rsidR="00FC46A8" w:rsidRDefault="00FC46A8" w:rsidP="00FC46A8"/>
    <w:tbl>
      <w:tblPr>
        <w:tblStyle w:val="Mkatabulky"/>
        <w:tblW w:w="0" w:type="auto"/>
        <w:tblLook w:val="04A0" w:firstRow="1" w:lastRow="0" w:firstColumn="1" w:lastColumn="0" w:noHBand="0" w:noVBand="1"/>
      </w:tblPr>
      <w:tblGrid>
        <w:gridCol w:w="2263"/>
        <w:gridCol w:w="3686"/>
        <w:gridCol w:w="4111"/>
        <w:gridCol w:w="3888"/>
      </w:tblGrid>
      <w:tr w:rsidR="00FC46A8" w14:paraId="42EB49BC" w14:textId="77777777" w:rsidTr="001D0D8D">
        <w:tc>
          <w:tcPr>
            <w:tcW w:w="2263" w:type="dxa"/>
          </w:tcPr>
          <w:p w14:paraId="46976A68" w14:textId="77777777" w:rsidR="00FC46A8" w:rsidRPr="00200453" w:rsidRDefault="00FC46A8" w:rsidP="001D0D8D">
            <w:pPr>
              <w:jc w:val="both"/>
              <w:rPr>
                <w:b/>
                <w:bCs/>
              </w:rPr>
            </w:pPr>
          </w:p>
        </w:tc>
        <w:tc>
          <w:tcPr>
            <w:tcW w:w="3686" w:type="dxa"/>
          </w:tcPr>
          <w:p w14:paraId="39DA02A1" w14:textId="77777777" w:rsidR="00FC46A8" w:rsidRPr="00200453" w:rsidRDefault="00FC46A8" w:rsidP="001D0D8D">
            <w:pPr>
              <w:jc w:val="center"/>
              <w:rPr>
                <w:b/>
                <w:bCs/>
                <w:smallCaps/>
                <w:u w:val="single"/>
              </w:rPr>
            </w:pPr>
            <w:r w:rsidRPr="00200453">
              <w:rPr>
                <w:b/>
                <w:bCs/>
                <w:smallCaps/>
                <w:u w:val="single"/>
              </w:rPr>
              <w:t>Energy price</w:t>
            </w:r>
          </w:p>
        </w:tc>
        <w:tc>
          <w:tcPr>
            <w:tcW w:w="4111" w:type="dxa"/>
          </w:tcPr>
          <w:p w14:paraId="7BA3B513" w14:textId="77777777" w:rsidR="00FC46A8" w:rsidRDefault="00FC46A8" w:rsidP="001D0D8D">
            <w:pPr>
              <w:jc w:val="center"/>
              <w:rPr>
                <w:b/>
                <w:bCs/>
                <w:u w:val="single"/>
              </w:rPr>
            </w:pPr>
            <w:r w:rsidRPr="00200453">
              <w:rPr>
                <w:b/>
                <w:bCs/>
                <w:smallCaps/>
                <w:u w:val="single"/>
              </w:rPr>
              <w:t xml:space="preserve">Energy </w:t>
            </w:r>
            <w:r>
              <w:rPr>
                <w:b/>
                <w:bCs/>
                <w:smallCaps/>
                <w:u w:val="single"/>
              </w:rPr>
              <w:t>contingency plans</w:t>
            </w:r>
          </w:p>
        </w:tc>
        <w:tc>
          <w:tcPr>
            <w:tcW w:w="3888" w:type="dxa"/>
          </w:tcPr>
          <w:p w14:paraId="52668AE5" w14:textId="77777777" w:rsidR="00FC46A8" w:rsidRDefault="00FC46A8" w:rsidP="001D0D8D">
            <w:pPr>
              <w:jc w:val="center"/>
              <w:rPr>
                <w:b/>
                <w:bCs/>
                <w:u w:val="single"/>
              </w:rPr>
            </w:pPr>
            <w:r>
              <w:rPr>
                <w:b/>
                <w:bCs/>
                <w:smallCaps/>
                <w:u w:val="single"/>
              </w:rPr>
              <w:t>lobby / advocacy actions</w:t>
            </w:r>
          </w:p>
        </w:tc>
      </w:tr>
      <w:tr w:rsidR="00FC46A8" w14:paraId="6F728F8F" w14:textId="77777777" w:rsidTr="001D0D8D">
        <w:tc>
          <w:tcPr>
            <w:tcW w:w="2263" w:type="dxa"/>
          </w:tcPr>
          <w:p w14:paraId="57788344" w14:textId="77777777" w:rsidR="00FC46A8" w:rsidRDefault="00FC46A8" w:rsidP="001D0D8D">
            <w:pPr>
              <w:jc w:val="both"/>
              <w:rPr>
                <w:b/>
                <w:bCs/>
              </w:rPr>
            </w:pPr>
            <w:r w:rsidRPr="00200453">
              <w:rPr>
                <w:b/>
                <w:bCs/>
              </w:rPr>
              <w:t>Italy</w:t>
            </w:r>
          </w:p>
          <w:p w14:paraId="4550BCF7" w14:textId="77777777" w:rsidR="00FC46A8" w:rsidRPr="0095208C" w:rsidRDefault="00FC46A8" w:rsidP="001D0D8D">
            <w:pPr>
              <w:jc w:val="both"/>
              <w:rPr>
                <w:i/>
                <w:iCs/>
                <w:lang w:val="fr-BE"/>
              </w:rPr>
            </w:pPr>
            <w:r>
              <w:rPr>
                <w:i/>
                <w:iCs/>
                <w:lang w:val="fr-BE"/>
              </w:rPr>
              <w:t xml:space="preserve">Assovetro </w:t>
            </w:r>
            <w:r w:rsidRPr="0095208C">
              <w:rPr>
                <w:i/>
                <w:iCs/>
                <w:lang w:val="fr-BE"/>
              </w:rPr>
              <w:t>Update</w:t>
            </w:r>
          </w:p>
          <w:p w14:paraId="456E33D6" w14:textId="77777777" w:rsidR="00FC46A8" w:rsidRDefault="00FC46A8" w:rsidP="001D0D8D">
            <w:pPr>
              <w:jc w:val="both"/>
              <w:rPr>
                <w:b/>
                <w:bCs/>
              </w:rPr>
            </w:pPr>
          </w:p>
          <w:p w14:paraId="2FC765FF" w14:textId="77777777" w:rsidR="00FC46A8" w:rsidRDefault="00FC46A8" w:rsidP="001D0D8D">
            <w:pPr>
              <w:jc w:val="both"/>
              <w:rPr>
                <w:b/>
                <w:bCs/>
              </w:rPr>
            </w:pPr>
          </w:p>
          <w:p w14:paraId="0FA0A588" w14:textId="77777777" w:rsidR="00FC46A8" w:rsidRDefault="00FC46A8" w:rsidP="001D0D8D">
            <w:pPr>
              <w:jc w:val="both"/>
              <w:rPr>
                <w:b/>
                <w:bCs/>
              </w:rPr>
            </w:pPr>
          </w:p>
          <w:p w14:paraId="20FB073C" w14:textId="77777777" w:rsidR="00FC46A8" w:rsidRDefault="00FC46A8" w:rsidP="001D0D8D">
            <w:pPr>
              <w:jc w:val="both"/>
              <w:rPr>
                <w:b/>
                <w:bCs/>
              </w:rPr>
            </w:pPr>
          </w:p>
          <w:p w14:paraId="59513E72" w14:textId="77777777" w:rsidR="00FC46A8" w:rsidRDefault="00FC46A8" w:rsidP="001D0D8D">
            <w:pPr>
              <w:jc w:val="both"/>
              <w:rPr>
                <w:b/>
                <w:bCs/>
              </w:rPr>
            </w:pPr>
          </w:p>
          <w:p w14:paraId="1CD5775B" w14:textId="77777777" w:rsidR="00FC46A8" w:rsidRDefault="00FC46A8" w:rsidP="001D0D8D">
            <w:pPr>
              <w:jc w:val="both"/>
              <w:rPr>
                <w:b/>
                <w:bCs/>
              </w:rPr>
            </w:pPr>
          </w:p>
          <w:p w14:paraId="44508CAA" w14:textId="77777777" w:rsidR="00FC46A8" w:rsidRPr="00200453" w:rsidRDefault="00FC46A8" w:rsidP="001D0D8D">
            <w:pPr>
              <w:jc w:val="both"/>
              <w:rPr>
                <w:b/>
                <w:bCs/>
              </w:rPr>
            </w:pPr>
          </w:p>
        </w:tc>
        <w:tc>
          <w:tcPr>
            <w:tcW w:w="3686" w:type="dxa"/>
          </w:tcPr>
          <w:p w14:paraId="61312ED9" w14:textId="77777777" w:rsidR="00FC46A8" w:rsidRPr="00200453" w:rsidRDefault="00FC46A8" w:rsidP="001D0D8D">
            <w:pPr>
              <w:jc w:val="both"/>
            </w:pPr>
          </w:p>
        </w:tc>
        <w:tc>
          <w:tcPr>
            <w:tcW w:w="4111" w:type="dxa"/>
          </w:tcPr>
          <w:p w14:paraId="36DF138C" w14:textId="77777777" w:rsidR="00FC46A8" w:rsidRPr="00200453" w:rsidRDefault="00FC46A8" w:rsidP="001D0D8D">
            <w:pPr>
              <w:jc w:val="both"/>
            </w:pPr>
          </w:p>
        </w:tc>
        <w:tc>
          <w:tcPr>
            <w:tcW w:w="3888" w:type="dxa"/>
          </w:tcPr>
          <w:p w14:paraId="26FDBE19" w14:textId="77777777" w:rsidR="00FC46A8" w:rsidRPr="00200453" w:rsidRDefault="00FC46A8" w:rsidP="001D0D8D">
            <w:pPr>
              <w:jc w:val="both"/>
            </w:pPr>
          </w:p>
        </w:tc>
      </w:tr>
    </w:tbl>
    <w:p w14:paraId="18FA4FEC" w14:textId="77777777" w:rsidR="00FC46A8" w:rsidRDefault="00FC46A8" w:rsidP="00FC46A8"/>
    <w:p w14:paraId="55D8C4A9" w14:textId="77777777" w:rsidR="00FC46A8" w:rsidRDefault="00FC46A8" w:rsidP="00FC46A8"/>
    <w:p w14:paraId="358C3DFA" w14:textId="77777777" w:rsidR="00FC46A8" w:rsidRDefault="00FC46A8" w:rsidP="00B4720D"/>
    <w:p w14:paraId="15032ED2" w14:textId="77777777" w:rsidR="00B4720D" w:rsidRDefault="00B4720D" w:rsidP="00B4720D"/>
    <w:tbl>
      <w:tblPr>
        <w:tblStyle w:val="Mkatabulky"/>
        <w:tblW w:w="0" w:type="auto"/>
        <w:tblLook w:val="04A0" w:firstRow="1" w:lastRow="0" w:firstColumn="1" w:lastColumn="0" w:noHBand="0" w:noVBand="1"/>
      </w:tblPr>
      <w:tblGrid>
        <w:gridCol w:w="2263"/>
        <w:gridCol w:w="3686"/>
        <w:gridCol w:w="4111"/>
        <w:gridCol w:w="3888"/>
      </w:tblGrid>
      <w:tr w:rsidR="00B4720D" w14:paraId="4F1430F7" w14:textId="77777777" w:rsidTr="001D0D8D">
        <w:tc>
          <w:tcPr>
            <w:tcW w:w="2263" w:type="dxa"/>
          </w:tcPr>
          <w:p w14:paraId="5F23C228" w14:textId="77777777" w:rsidR="00B4720D" w:rsidRPr="00200453" w:rsidRDefault="00B4720D" w:rsidP="001D0D8D">
            <w:pPr>
              <w:jc w:val="both"/>
              <w:rPr>
                <w:b/>
                <w:bCs/>
              </w:rPr>
            </w:pPr>
          </w:p>
        </w:tc>
        <w:tc>
          <w:tcPr>
            <w:tcW w:w="3686" w:type="dxa"/>
          </w:tcPr>
          <w:p w14:paraId="79DC58E3" w14:textId="77777777" w:rsidR="00B4720D" w:rsidRPr="00200453" w:rsidRDefault="00B4720D" w:rsidP="001D0D8D">
            <w:pPr>
              <w:jc w:val="center"/>
              <w:rPr>
                <w:b/>
                <w:bCs/>
                <w:smallCaps/>
                <w:u w:val="single"/>
              </w:rPr>
            </w:pPr>
            <w:r w:rsidRPr="00200453">
              <w:rPr>
                <w:b/>
                <w:bCs/>
                <w:smallCaps/>
                <w:u w:val="single"/>
              </w:rPr>
              <w:t>Energy price</w:t>
            </w:r>
          </w:p>
        </w:tc>
        <w:tc>
          <w:tcPr>
            <w:tcW w:w="4111" w:type="dxa"/>
          </w:tcPr>
          <w:p w14:paraId="154AECEF" w14:textId="77777777" w:rsidR="00B4720D" w:rsidRDefault="00B4720D" w:rsidP="001D0D8D">
            <w:pPr>
              <w:jc w:val="center"/>
              <w:rPr>
                <w:b/>
                <w:bCs/>
                <w:u w:val="single"/>
              </w:rPr>
            </w:pPr>
            <w:r w:rsidRPr="00200453">
              <w:rPr>
                <w:b/>
                <w:bCs/>
                <w:smallCaps/>
                <w:u w:val="single"/>
              </w:rPr>
              <w:t xml:space="preserve">Energy </w:t>
            </w:r>
            <w:r>
              <w:rPr>
                <w:b/>
                <w:bCs/>
                <w:smallCaps/>
                <w:u w:val="single"/>
              </w:rPr>
              <w:t>contingency plans</w:t>
            </w:r>
          </w:p>
        </w:tc>
        <w:tc>
          <w:tcPr>
            <w:tcW w:w="3888" w:type="dxa"/>
          </w:tcPr>
          <w:p w14:paraId="76705906" w14:textId="77777777" w:rsidR="00B4720D" w:rsidRDefault="00B4720D" w:rsidP="001D0D8D">
            <w:pPr>
              <w:jc w:val="center"/>
              <w:rPr>
                <w:b/>
                <w:bCs/>
                <w:u w:val="single"/>
              </w:rPr>
            </w:pPr>
            <w:r>
              <w:rPr>
                <w:b/>
                <w:bCs/>
                <w:smallCaps/>
                <w:u w:val="single"/>
              </w:rPr>
              <w:t>lobby / advocacy actions</w:t>
            </w:r>
          </w:p>
        </w:tc>
      </w:tr>
      <w:tr w:rsidR="002F656C" w14:paraId="43E49BEE" w14:textId="77777777" w:rsidTr="00200453">
        <w:tc>
          <w:tcPr>
            <w:tcW w:w="2263" w:type="dxa"/>
          </w:tcPr>
          <w:p w14:paraId="122A9580" w14:textId="77777777" w:rsidR="002F656C" w:rsidRDefault="002F656C" w:rsidP="002F656C">
            <w:pPr>
              <w:jc w:val="both"/>
              <w:rPr>
                <w:b/>
                <w:bCs/>
              </w:rPr>
            </w:pPr>
            <w:r w:rsidRPr="0095208C">
              <w:rPr>
                <w:b/>
                <w:bCs/>
              </w:rPr>
              <w:t>Netherlands</w:t>
            </w:r>
          </w:p>
          <w:p w14:paraId="06B6150A" w14:textId="77777777" w:rsidR="002F656C" w:rsidRPr="00B50AFC" w:rsidRDefault="002F656C" w:rsidP="002F656C">
            <w:pPr>
              <w:jc w:val="both"/>
              <w:rPr>
                <w:i/>
                <w:iCs/>
              </w:rPr>
            </w:pPr>
            <w:r>
              <w:rPr>
                <w:i/>
                <w:iCs/>
              </w:rPr>
              <w:t>VNG update:</w:t>
            </w:r>
          </w:p>
          <w:p w14:paraId="1251C354" w14:textId="77777777" w:rsidR="002F656C" w:rsidRDefault="002F656C" w:rsidP="002F656C">
            <w:pPr>
              <w:jc w:val="both"/>
              <w:rPr>
                <w:b/>
                <w:bCs/>
              </w:rPr>
            </w:pPr>
          </w:p>
          <w:p w14:paraId="65BF24D0" w14:textId="77777777" w:rsidR="002F656C" w:rsidRDefault="002F656C" w:rsidP="002F656C">
            <w:pPr>
              <w:jc w:val="both"/>
              <w:rPr>
                <w:b/>
                <w:bCs/>
              </w:rPr>
            </w:pPr>
          </w:p>
          <w:p w14:paraId="70F41B59" w14:textId="77777777" w:rsidR="002F656C" w:rsidRDefault="002F656C" w:rsidP="002F656C">
            <w:pPr>
              <w:jc w:val="both"/>
              <w:rPr>
                <w:b/>
                <w:bCs/>
              </w:rPr>
            </w:pPr>
          </w:p>
          <w:p w14:paraId="5FCA12BA" w14:textId="77777777" w:rsidR="002F656C" w:rsidRDefault="002F656C" w:rsidP="002F656C">
            <w:pPr>
              <w:jc w:val="both"/>
              <w:rPr>
                <w:b/>
                <w:bCs/>
              </w:rPr>
            </w:pPr>
          </w:p>
          <w:p w14:paraId="663D4AE6" w14:textId="77777777" w:rsidR="002F656C" w:rsidRDefault="002F656C" w:rsidP="002F656C">
            <w:pPr>
              <w:jc w:val="both"/>
              <w:rPr>
                <w:b/>
                <w:bCs/>
              </w:rPr>
            </w:pPr>
          </w:p>
          <w:p w14:paraId="586F57E2" w14:textId="77777777" w:rsidR="002F656C" w:rsidRPr="0095208C" w:rsidRDefault="002F656C" w:rsidP="002F656C">
            <w:pPr>
              <w:jc w:val="both"/>
              <w:rPr>
                <w:b/>
                <w:bCs/>
              </w:rPr>
            </w:pPr>
          </w:p>
        </w:tc>
        <w:tc>
          <w:tcPr>
            <w:tcW w:w="3686" w:type="dxa"/>
          </w:tcPr>
          <w:p w14:paraId="428B5C62" w14:textId="77777777" w:rsidR="002F656C" w:rsidRPr="00200453" w:rsidRDefault="002F656C" w:rsidP="002F656C">
            <w:pPr>
              <w:jc w:val="both"/>
            </w:pPr>
          </w:p>
        </w:tc>
        <w:tc>
          <w:tcPr>
            <w:tcW w:w="4111" w:type="dxa"/>
          </w:tcPr>
          <w:p w14:paraId="7763E8ED" w14:textId="77777777" w:rsidR="002F656C" w:rsidRPr="00200453" w:rsidRDefault="002F656C" w:rsidP="002F656C">
            <w:pPr>
              <w:jc w:val="both"/>
            </w:pPr>
          </w:p>
        </w:tc>
        <w:tc>
          <w:tcPr>
            <w:tcW w:w="3888" w:type="dxa"/>
          </w:tcPr>
          <w:p w14:paraId="4EEBB752" w14:textId="77777777" w:rsidR="002F656C" w:rsidRPr="00200453" w:rsidRDefault="002F656C" w:rsidP="002F656C">
            <w:pPr>
              <w:jc w:val="both"/>
            </w:pPr>
          </w:p>
        </w:tc>
      </w:tr>
    </w:tbl>
    <w:p w14:paraId="7C7011C6" w14:textId="6F4D6854" w:rsidR="002F656C" w:rsidRDefault="002F656C"/>
    <w:p w14:paraId="2E938D34" w14:textId="77777777" w:rsidR="0095208C" w:rsidRDefault="0095208C"/>
    <w:tbl>
      <w:tblPr>
        <w:tblStyle w:val="Mkatabulky"/>
        <w:tblW w:w="0" w:type="auto"/>
        <w:tblLook w:val="04A0" w:firstRow="1" w:lastRow="0" w:firstColumn="1" w:lastColumn="0" w:noHBand="0" w:noVBand="1"/>
      </w:tblPr>
      <w:tblGrid>
        <w:gridCol w:w="2263"/>
        <w:gridCol w:w="3686"/>
        <w:gridCol w:w="4111"/>
        <w:gridCol w:w="3888"/>
      </w:tblGrid>
      <w:tr w:rsidR="0095208C" w14:paraId="693CF629" w14:textId="77777777" w:rsidTr="0095208C">
        <w:tc>
          <w:tcPr>
            <w:tcW w:w="2263" w:type="dxa"/>
          </w:tcPr>
          <w:p w14:paraId="75193AE6" w14:textId="77777777" w:rsidR="0095208C" w:rsidRPr="00200453" w:rsidRDefault="0095208C" w:rsidP="00717824">
            <w:pPr>
              <w:jc w:val="both"/>
              <w:rPr>
                <w:b/>
                <w:bCs/>
              </w:rPr>
            </w:pPr>
          </w:p>
        </w:tc>
        <w:tc>
          <w:tcPr>
            <w:tcW w:w="3686" w:type="dxa"/>
          </w:tcPr>
          <w:p w14:paraId="63F56E68" w14:textId="77777777" w:rsidR="0095208C" w:rsidRPr="00200453" w:rsidRDefault="0095208C" w:rsidP="00717824">
            <w:pPr>
              <w:jc w:val="center"/>
              <w:rPr>
                <w:b/>
                <w:bCs/>
                <w:smallCaps/>
                <w:u w:val="single"/>
              </w:rPr>
            </w:pPr>
            <w:r w:rsidRPr="00200453">
              <w:rPr>
                <w:b/>
                <w:bCs/>
                <w:smallCaps/>
                <w:u w:val="single"/>
              </w:rPr>
              <w:t>Energy price</w:t>
            </w:r>
          </w:p>
        </w:tc>
        <w:tc>
          <w:tcPr>
            <w:tcW w:w="4111" w:type="dxa"/>
          </w:tcPr>
          <w:p w14:paraId="59997880" w14:textId="77777777" w:rsidR="0095208C" w:rsidRDefault="0095208C" w:rsidP="00717824">
            <w:pPr>
              <w:jc w:val="center"/>
              <w:rPr>
                <w:b/>
                <w:bCs/>
                <w:u w:val="single"/>
              </w:rPr>
            </w:pPr>
            <w:r w:rsidRPr="00200453">
              <w:rPr>
                <w:b/>
                <w:bCs/>
                <w:smallCaps/>
                <w:u w:val="single"/>
              </w:rPr>
              <w:t xml:space="preserve">Energy </w:t>
            </w:r>
            <w:r>
              <w:rPr>
                <w:b/>
                <w:bCs/>
                <w:smallCaps/>
                <w:u w:val="single"/>
              </w:rPr>
              <w:t>contingency plans</w:t>
            </w:r>
          </w:p>
        </w:tc>
        <w:tc>
          <w:tcPr>
            <w:tcW w:w="3888" w:type="dxa"/>
          </w:tcPr>
          <w:p w14:paraId="6FB0B5D7" w14:textId="77777777" w:rsidR="0095208C" w:rsidRDefault="0095208C" w:rsidP="00717824">
            <w:pPr>
              <w:jc w:val="center"/>
              <w:rPr>
                <w:b/>
                <w:bCs/>
                <w:u w:val="single"/>
              </w:rPr>
            </w:pPr>
            <w:r>
              <w:rPr>
                <w:b/>
                <w:bCs/>
                <w:smallCaps/>
                <w:u w:val="single"/>
              </w:rPr>
              <w:t>lobby / advocacy actions</w:t>
            </w:r>
          </w:p>
        </w:tc>
      </w:tr>
      <w:tr w:rsidR="0095208C" w14:paraId="17B77B9D" w14:textId="77777777" w:rsidTr="00200453">
        <w:tc>
          <w:tcPr>
            <w:tcW w:w="2263" w:type="dxa"/>
          </w:tcPr>
          <w:p w14:paraId="62BC62E0" w14:textId="77777777" w:rsidR="0095208C" w:rsidRDefault="0095208C" w:rsidP="00200453">
            <w:pPr>
              <w:jc w:val="both"/>
              <w:rPr>
                <w:b/>
                <w:bCs/>
              </w:rPr>
            </w:pPr>
            <w:r>
              <w:rPr>
                <w:b/>
                <w:bCs/>
              </w:rPr>
              <w:t>Czechia</w:t>
            </w:r>
          </w:p>
          <w:p w14:paraId="702A1F5D" w14:textId="77777777" w:rsidR="0095208C" w:rsidRPr="00B50AFC" w:rsidRDefault="00B50AFC" w:rsidP="00200453">
            <w:pPr>
              <w:jc w:val="both"/>
              <w:rPr>
                <w:i/>
                <w:iCs/>
              </w:rPr>
            </w:pPr>
            <w:r>
              <w:rPr>
                <w:i/>
                <w:iCs/>
              </w:rPr>
              <w:t>ASKPCR update:</w:t>
            </w:r>
          </w:p>
          <w:p w14:paraId="1B021385" w14:textId="77777777" w:rsidR="00B50AFC" w:rsidRDefault="00B50AFC" w:rsidP="00200453">
            <w:pPr>
              <w:jc w:val="both"/>
              <w:rPr>
                <w:b/>
                <w:bCs/>
              </w:rPr>
            </w:pPr>
          </w:p>
          <w:p w14:paraId="39B39BF9" w14:textId="77777777" w:rsidR="00B50AFC" w:rsidRDefault="00B50AFC" w:rsidP="00200453">
            <w:pPr>
              <w:jc w:val="both"/>
              <w:rPr>
                <w:b/>
                <w:bCs/>
              </w:rPr>
            </w:pPr>
          </w:p>
          <w:p w14:paraId="3A738450" w14:textId="77777777" w:rsidR="00B50AFC" w:rsidRDefault="00B50AFC" w:rsidP="00200453">
            <w:pPr>
              <w:jc w:val="both"/>
              <w:rPr>
                <w:b/>
                <w:bCs/>
              </w:rPr>
            </w:pPr>
          </w:p>
          <w:p w14:paraId="7CA7B744" w14:textId="77777777" w:rsidR="0095208C" w:rsidRPr="0095208C" w:rsidRDefault="0095208C" w:rsidP="00200453">
            <w:pPr>
              <w:jc w:val="both"/>
              <w:rPr>
                <w:b/>
                <w:bCs/>
              </w:rPr>
            </w:pPr>
          </w:p>
        </w:tc>
        <w:tc>
          <w:tcPr>
            <w:tcW w:w="3686" w:type="dxa"/>
          </w:tcPr>
          <w:p w14:paraId="492EB379" w14:textId="77777777" w:rsidR="0095208C" w:rsidRPr="00200453" w:rsidRDefault="0095208C" w:rsidP="00200453">
            <w:pPr>
              <w:jc w:val="both"/>
            </w:pPr>
          </w:p>
        </w:tc>
        <w:tc>
          <w:tcPr>
            <w:tcW w:w="4111" w:type="dxa"/>
          </w:tcPr>
          <w:p w14:paraId="1FA807E5" w14:textId="77777777" w:rsidR="0095208C" w:rsidRPr="00200453" w:rsidRDefault="0095208C" w:rsidP="00200453">
            <w:pPr>
              <w:jc w:val="both"/>
            </w:pPr>
          </w:p>
        </w:tc>
        <w:tc>
          <w:tcPr>
            <w:tcW w:w="3888" w:type="dxa"/>
          </w:tcPr>
          <w:p w14:paraId="0C4394FE" w14:textId="77777777" w:rsidR="0095208C" w:rsidRPr="00200453" w:rsidRDefault="0095208C" w:rsidP="00200453">
            <w:pPr>
              <w:jc w:val="both"/>
            </w:pPr>
          </w:p>
        </w:tc>
      </w:tr>
      <w:tr w:rsidR="0095208C" w14:paraId="3AC6CFA5" w14:textId="77777777" w:rsidTr="00200453">
        <w:tc>
          <w:tcPr>
            <w:tcW w:w="2263" w:type="dxa"/>
          </w:tcPr>
          <w:p w14:paraId="750DF75F" w14:textId="77777777" w:rsidR="0095208C" w:rsidRDefault="0095208C" w:rsidP="00200453">
            <w:pPr>
              <w:jc w:val="both"/>
              <w:rPr>
                <w:b/>
                <w:bCs/>
              </w:rPr>
            </w:pPr>
            <w:r>
              <w:rPr>
                <w:b/>
                <w:bCs/>
              </w:rPr>
              <w:t>Slovakia</w:t>
            </w:r>
          </w:p>
          <w:p w14:paraId="33D7E056" w14:textId="77777777" w:rsidR="00B50AFC" w:rsidRPr="00B50AFC" w:rsidRDefault="00B50AFC" w:rsidP="00200453">
            <w:pPr>
              <w:jc w:val="both"/>
              <w:rPr>
                <w:i/>
                <w:iCs/>
              </w:rPr>
            </w:pPr>
            <w:proofErr w:type="spellStart"/>
            <w:r w:rsidRPr="00B50AFC">
              <w:rPr>
                <w:i/>
                <w:iCs/>
              </w:rPr>
              <w:t>Zvsp</w:t>
            </w:r>
            <w:proofErr w:type="spellEnd"/>
            <w:r w:rsidRPr="00B50AFC">
              <w:rPr>
                <w:i/>
                <w:iCs/>
              </w:rPr>
              <w:t xml:space="preserve"> update:</w:t>
            </w:r>
          </w:p>
          <w:p w14:paraId="7BC62193" w14:textId="77777777" w:rsidR="00B50AFC" w:rsidRDefault="00B50AFC" w:rsidP="00200453">
            <w:pPr>
              <w:jc w:val="both"/>
              <w:rPr>
                <w:b/>
                <w:bCs/>
              </w:rPr>
            </w:pPr>
          </w:p>
          <w:p w14:paraId="7B02F88A" w14:textId="77777777" w:rsidR="00B50AFC" w:rsidRDefault="00B50AFC" w:rsidP="00200453">
            <w:pPr>
              <w:jc w:val="both"/>
              <w:rPr>
                <w:b/>
                <w:bCs/>
              </w:rPr>
            </w:pPr>
          </w:p>
          <w:p w14:paraId="3C05B4F4" w14:textId="77777777" w:rsidR="00B50AFC" w:rsidRDefault="00B50AFC" w:rsidP="00200453">
            <w:pPr>
              <w:jc w:val="both"/>
              <w:rPr>
                <w:b/>
                <w:bCs/>
              </w:rPr>
            </w:pPr>
          </w:p>
          <w:p w14:paraId="41FBC0FE" w14:textId="77777777" w:rsidR="00B50AFC" w:rsidRPr="0095208C" w:rsidRDefault="00B50AFC" w:rsidP="00200453">
            <w:pPr>
              <w:jc w:val="both"/>
              <w:rPr>
                <w:b/>
                <w:bCs/>
              </w:rPr>
            </w:pPr>
          </w:p>
        </w:tc>
        <w:tc>
          <w:tcPr>
            <w:tcW w:w="3686" w:type="dxa"/>
          </w:tcPr>
          <w:p w14:paraId="7227ADA2" w14:textId="77777777" w:rsidR="0095208C" w:rsidRPr="00200453" w:rsidRDefault="0095208C" w:rsidP="00200453">
            <w:pPr>
              <w:jc w:val="both"/>
            </w:pPr>
          </w:p>
        </w:tc>
        <w:tc>
          <w:tcPr>
            <w:tcW w:w="4111" w:type="dxa"/>
          </w:tcPr>
          <w:p w14:paraId="773D0620" w14:textId="77777777" w:rsidR="0095208C" w:rsidRPr="00200453" w:rsidRDefault="0095208C" w:rsidP="00200453">
            <w:pPr>
              <w:jc w:val="both"/>
            </w:pPr>
          </w:p>
        </w:tc>
        <w:tc>
          <w:tcPr>
            <w:tcW w:w="3888" w:type="dxa"/>
          </w:tcPr>
          <w:p w14:paraId="7B20F794" w14:textId="77777777" w:rsidR="0095208C" w:rsidRPr="00200453" w:rsidRDefault="0095208C" w:rsidP="00200453">
            <w:pPr>
              <w:jc w:val="both"/>
            </w:pPr>
          </w:p>
        </w:tc>
      </w:tr>
      <w:tr w:rsidR="0095208C" w14:paraId="32F2F2D9" w14:textId="77777777" w:rsidTr="00200453">
        <w:tc>
          <w:tcPr>
            <w:tcW w:w="2263" w:type="dxa"/>
          </w:tcPr>
          <w:p w14:paraId="7818AF8D" w14:textId="77777777" w:rsidR="0095208C" w:rsidRDefault="0095208C" w:rsidP="00200453">
            <w:pPr>
              <w:jc w:val="both"/>
              <w:rPr>
                <w:b/>
                <w:bCs/>
              </w:rPr>
            </w:pPr>
            <w:r>
              <w:rPr>
                <w:b/>
                <w:bCs/>
              </w:rPr>
              <w:t>Bulgaria</w:t>
            </w:r>
          </w:p>
          <w:p w14:paraId="6613A06B" w14:textId="77777777" w:rsidR="00B50AFC" w:rsidRPr="00B50AFC" w:rsidRDefault="00B50AFC" w:rsidP="00200453">
            <w:pPr>
              <w:jc w:val="both"/>
              <w:rPr>
                <w:i/>
                <w:iCs/>
              </w:rPr>
            </w:pPr>
            <w:r w:rsidRPr="00B50AFC">
              <w:rPr>
                <w:i/>
                <w:iCs/>
              </w:rPr>
              <w:t>AGPB update:</w:t>
            </w:r>
          </w:p>
          <w:p w14:paraId="19FE0DCD" w14:textId="77777777" w:rsidR="00B50AFC" w:rsidRDefault="00B50AFC" w:rsidP="00200453">
            <w:pPr>
              <w:jc w:val="both"/>
              <w:rPr>
                <w:b/>
                <w:bCs/>
              </w:rPr>
            </w:pPr>
          </w:p>
          <w:p w14:paraId="42643EA6" w14:textId="77777777" w:rsidR="00B50AFC" w:rsidRDefault="00B50AFC" w:rsidP="00200453">
            <w:pPr>
              <w:jc w:val="both"/>
              <w:rPr>
                <w:b/>
                <w:bCs/>
              </w:rPr>
            </w:pPr>
          </w:p>
          <w:p w14:paraId="1AC44398" w14:textId="77777777" w:rsidR="00B50AFC" w:rsidRDefault="00B50AFC" w:rsidP="00200453">
            <w:pPr>
              <w:jc w:val="both"/>
              <w:rPr>
                <w:b/>
                <w:bCs/>
              </w:rPr>
            </w:pPr>
          </w:p>
          <w:p w14:paraId="7661D729" w14:textId="77777777" w:rsidR="00B50AFC" w:rsidRDefault="00B50AFC" w:rsidP="00200453">
            <w:pPr>
              <w:jc w:val="both"/>
              <w:rPr>
                <w:b/>
                <w:bCs/>
              </w:rPr>
            </w:pPr>
          </w:p>
        </w:tc>
        <w:tc>
          <w:tcPr>
            <w:tcW w:w="3686" w:type="dxa"/>
          </w:tcPr>
          <w:p w14:paraId="228841E6" w14:textId="77777777" w:rsidR="0095208C" w:rsidRPr="00200453" w:rsidRDefault="0095208C" w:rsidP="00200453">
            <w:pPr>
              <w:jc w:val="both"/>
            </w:pPr>
          </w:p>
        </w:tc>
        <w:tc>
          <w:tcPr>
            <w:tcW w:w="4111" w:type="dxa"/>
          </w:tcPr>
          <w:p w14:paraId="6054CDB9" w14:textId="77777777" w:rsidR="0095208C" w:rsidRPr="00200453" w:rsidRDefault="0095208C" w:rsidP="00200453">
            <w:pPr>
              <w:jc w:val="both"/>
            </w:pPr>
          </w:p>
        </w:tc>
        <w:tc>
          <w:tcPr>
            <w:tcW w:w="3888" w:type="dxa"/>
          </w:tcPr>
          <w:p w14:paraId="306522C0" w14:textId="77777777" w:rsidR="0095208C" w:rsidRPr="00200453" w:rsidRDefault="0095208C" w:rsidP="00200453">
            <w:pPr>
              <w:jc w:val="both"/>
            </w:pPr>
          </w:p>
        </w:tc>
      </w:tr>
    </w:tbl>
    <w:p w14:paraId="61D8EC29" w14:textId="5E0C8E56" w:rsidR="00B4720D" w:rsidRDefault="00B4720D"/>
    <w:p w14:paraId="22BD6C09" w14:textId="77777777" w:rsidR="00B4720D" w:rsidRDefault="00B4720D"/>
    <w:p w14:paraId="51DD3E1F" w14:textId="2FA50B65" w:rsidR="00B4720D" w:rsidRDefault="00B4720D"/>
    <w:p w14:paraId="69B2FD40" w14:textId="12AA7F1B" w:rsidR="00B4720D" w:rsidRDefault="00B4720D"/>
    <w:p w14:paraId="31DAF624" w14:textId="382199EC" w:rsidR="00B4720D" w:rsidRDefault="00B4720D"/>
    <w:p w14:paraId="7C1ABA36" w14:textId="2866B4C3" w:rsidR="00B4720D" w:rsidRDefault="00B4720D"/>
    <w:p w14:paraId="07315C28" w14:textId="0BA930AB" w:rsidR="00B4720D" w:rsidRDefault="00B4720D"/>
    <w:tbl>
      <w:tblPr>
        <w:tblStyle w:val="Mkatabulky"/>
        <w:tblW w:w="14737" w:type="dxa"/>
        <w:tblLook w:val="04A0" w:firstRow="1" w:lastRow="0" w:firstColumn="1" w:lastColumn="0" w:noHBand="0" w:noVBand="1"/>
      </w:tblPr>
      <w:tblGrid>
        <w:gridCol w:w="2263"/>
        <w:gridCol w:w="2694"/>
        <w:gridCol w:w="6520"/>
        <w:gridCol w:w="3260"/>
      </w:tblGrid>
      <w:tr w:rsidR="00B4720D" w14:paraId="248A1D4F" w14:textId="77777777" w:rsidTr="00B4720D">
        <w:tc>
          <w:tcPr>
            <w:tcW w:w="2263" w:type="dxa"/>
          </w:tcPr>
          <w:p w14:paraId="08BF9539" w14:textId="77777777" w:rsidR="00B4720D" w:rsidRPr="00200453" w:rsidRDefault="00B4720D" w:rsidP="00B4720D">
            <w:pPr>
              <w:jc w:val="both"/>
              <w:rPr>
                <w:b/>
                <w:bCs/>
              </w:rPr>
            </w:pPr>
          </w:p>
        </w:tc>
        <w:tc>
          <w:tcPr>
            <w:tcW w:w="2694" w:type="dxa"/>
          </w:tcPr>
          <w:p w14:paraId="38CC6447" w14:textId="276A147F" w:rsidR="00B4720D" w:rsidRPr="00200453" w:rsidRDefault="00B4720D" w:rsidP="00B4720D">
            <w:pPr>
              <w:jc w:val="center"/>
              <w:rPr>
                <w:b/>
                <w:bCs/>
                <w:smallCaps/>
                <w:u w:val="single"/>
              </w:rPr>
            </w:pPr>
            <w:r w:rsidRPr="00200453">
              <w:rPr>
                <w:b/>
                <w:bCs/>
                <w:smallCaps/>
                <w:u w:val="single"/>
              </w:rPr>
              <w:t>Energy price</w:t>
            </w:r>
          </w:p>
        </w:tc>
        <w:tc>
          <w:tcPr>
            <w:tcW w:w="6520" w:type="dxa"/>
          </w:tcPr>
          <w:p w14:paraId="142FD6F4" w14:textId="2BA11B0A" w:rsidR="00B4720D" w:rsidRDefault="00B4720D" w:rsidP="00B4720D">
            <w:pPr>
              <w:jc w:val="center"/>
              <w:rPr>
                <w:b/>
                <w:bCs/>
                <w:u w:val="single"/>
              </w:rPr>
            </w:pPr>
            <w:r w:rsidRPr="00200453">
              <w:rPr>
                <w:b/>
                <w:bCs/>
                <w:smallCaps/>
                <w:u w:val="single"/>
              </w:rPr>
              <w:t xml:space="preserve">Energy </w:t>
            </w:r>
            <w:r>
              <w:rPr>
                <w:b/>
                <w:bCs/>
                <w:smallCaps/>
                <w:u w:val="single"/>
              </w:rPr>
              <w:t>contingency plans</w:t>
            </w:r>
          </w:p>
        </w:tc>
        <w:tc>
          <w:tcPr>
            <w:tcW w:w="3260" w:type="dxa"/>
          </w:tcPr>
          <w:p w14:paraId="0A561C58" w14:textId="5E970C5F" w:rsidR="00B4720D" w:rsidRDefault="00B4720D" w:rsidP="00B4720D">
            <w:pPr>
              <w:jc w:val="center"/>
              <w:rPr>
                <w:b/>
                <w:bCs/>
                <w:u w:val="single"/>
              </w:rPr>
            </w:pPr>
            <w:r>
              <w:rPr>
                <w:b/>
                <w:bCs/>
                <w:smallCaps/>
                <w:u w:val="single"/>
              </w:rPr>
              <w:t>lobby / advocacy actions</w:t>
            </w:r>
          </w:p>
        </w:tc>
      </w:tr>
      <w:tr w:rsidR="00B4720D" w14:paraId="46C7C8EC" w14:textId="77777777" w:rsidTr="00B4720D">
        <w:tc>
          <w:tcPr>
            <w:tcW w:w="2263" w:type="dxa"/>
          </w:tcPr>
          <w:p w14:paraId="5CC5D1EE" w14:textId="77777777" w:rsidR="00B4720D" w:rsidRDefault="00B4720D" w:rsidP="00B4720D">
            <w:pPr>
              <w:jc w:val="both"/>
              <w:rPr>
                <w:b/>
                <w:bCs/>
              </w:rPr>
            </w:pPr>
            <w:r>
              <w:rPr>
                <w:b/>
                <w:bCs/>
              </w:rPr>
              <w:t>United Kingdom</w:t>
            </w:r>
          </w:p>
          <w:p w14:paraId="2C137A25" w14:textId="04479B2E" w:rsidR="00B4720D" w:rsidRPr="00B50AFC" w:rsidRDefault="00B4720D" w:rsidP="00B4720D">
            <w:pPr>
              <w:jc w:val="both"/>
              <w:rPr>
                <w:i/>
                <w:iCs/>
              </w:rPr>
            </w:pPr>
            <w:r>
              <w:rPr>
                <w:i/>
                <w:iCs/>
              </w:rPr>
              <w:t>British Glass update: 22/04/2022</w:t>
            </w:r>
          </w:p>
          <w:p w14:paraId="02419963" w14:textId="77777777" w:rsidR="00B4720D" w:rsidRDefault="00B4720D" w:rsidP="00B4720D">
            <w:pPr>
              <w:jc w:val="both"/>
              <w:rPr>
                <w:b/>
                <w:bCs/>
              </w:rPr>
            </w:pPr>
          </w:p>
          <w:p w14:paraId="29A62A6E" w14:textId="77777777" w:rsidR="00B4720D" w:rsidRDefault="00B4720D" w:rsidP="00B4720D">
            <w:pPr>
              <w:jc w:val="both"/>
              <w:rPr>
                <w:b/>
                <w:bCs/>
              </w:rPr>
            </w:pPr>
          </w:p>
          <w:p w14:paraId="66B69208" w14:textId="77777777" w:rsidR="00B4720D" w:rsidRDefault="00B4720D" w:rsidP="00B4720D">
            <w:pPr>
              <w:jc w:val="both"/>
              <w:rPr>
                <w:b/>
                <w:bCs/>
              </w:rPr>
            </w:pPr>
          </w:p>
          <w:p w14:paraId="050D261C" w14:textId="77777777" w:rsidR="00B4720D" w:rsidRDefault="00B4720D" w:rsidP="00B4720D">
            <w:pPr>
              <w:jc w:val="both"/>
              <w:rPr>
                <w:b/>
                <w:bCs/>
              </w:rPr>
            </w:pPr>
          </w:p>
          <w:p w14:paraId="647BB48B" w14:textId="77777777" w:rsidR="00B4720D" w:rsidRDefault="00B4720D" w:rsidP="00B4720D">
            <w:pPr>
              <w:jc w:val="both"/>
              <w:rPr>
                <w:b/>
                <w:bCs/>
              </w:rPr>
            </w:pPr>
          </w:p>
          <w:p w14:paraId="78CA376C" w14:textId="77777777" w:rsidR="00B4720D" w:rsidRDefault="00B4720D" w:rsidP="00B4720D">
            <w:pPr>
              <w:jc w:val="both"/>
              <w:rPr>
                <w:b/>
                <w:bCs/>
              </w:rPr>
            </w:pPr>
          </w:p>
          <w:p w14:paraId="2FB16283" w14:textId="77777777" w:rsidR="00B4720D" w:rsidRDefault="00B4720D" w:rsidP="00B4720D">
            <w:pPr>
              <w:jc w:val="both"/>
              <w:rPr>
                <w:b/>
                <w:bCs/>
              </w:rPr>
            </w:pPr>
          </w:p>
        </w:tc>
        <w:tc>
          <w:tcPr>
            <w:tcW w:w="2694" w:type="dxa"/>
          </w:tcPr>
          <w:p w14:paraId="00BD1EE7" w14:textId="77777777" w:rsidR="00B4720D" w:rsidRDefault="00B4720D" w:rsidP="00B4720D">
            <w:pPr>
              <w:jc w:val="both"/>
            </w:pPr>
            <w:r>
              <w:t xml:space="preserve">Announced in the UK Energy Security Strategy </w:t>
            </w:r>
          </w:p>
          <w:p w14:paraId="72573059" w14:textId="77777777" w:rsidR="00B4720D" w:rsidRDefault="00B4720D" w:rsidP="00B4720D">
            <w:pPr>
              <w:pStyle w:val="Odstavecseseznamem"/>
              <w:numPr>
                <w:ilvl w:val="0"/>
                <w:numId w:val="5"/>
              </w:numPr>
              <w:jc w:val="both"/>
            </w:pPr>
            <w:r>
              <w:t>RO/FIT/CFD exemption relief to be increased from 85% to 100% - unknown start date either 1</w:t>
            </w:r>
            <w:r w:rsidRPr="001A01CE">
              <w:t>st</w:t>
            </w:r>
            <w:r>
              <w:t xml:space="preserve"> April 22 or 1</w:t>
            </w:r>
            <w:r w:rsidRPr="001A01CE">
              <w:t>st</w:t>
            </w:r>
            <w:r>
              <w:t xml:space="preserve"> April 23. </w:t>
            </w:r>
          </w:p>
          <w:p w14:paraId="431D047F" w14:textId="15E6BB86" w:rsidR="00B4720D" w:rsidRPr="00200453" w:rsidRDefault="00B4720D" w:rsidP="00B4720D">
            <w:pPr>
              <w:jc w:val="both"/>
            </w:pPr>
            <w:r>
              <w:t>Indirect cost compensation for UK ETS and CPS costs from 85% to 100% - glass still not sure if eligible awaiting consultation response – starting from 1</w:t>
            </w:r>
            <w:r w:rsidRPr="001A01CE">
              <w:t>st</w:t>
            </w:r>
            <w:r>
              <w:t xml:space="preserve"> April 22. </w:t>
            </w:r>
          </w:p>
        </w:tc>
        <w:tc>
          <w:tcPr>
            <w:tcW w:w="6520" w:type="dxa"/>
          </w:tcPr>
          <w:p w14:paraId="4FB4C5FE" w14:textId="77777777" w:rsidR="00B4720D" w:rsidRDefault="00B4720D" w:rsidP="00B4720D">
            <w:pPr>
              <w:tabs>
                <w:tab w:val="left" w:pos="319"/>
              </w:tabs>
              <w:jc w:val="both"/>
            </w:pPr>
            <w:r>
              <w:t xml:space="preserve">Announced in the UK Energy Security Strategy: </w:t>
            </w:r>
          </w:p>
          <w:p w14:paraId="651C7198" w14:textId="77777777" w:rsidR="00B4720D" w:rsidRPr="00E30C60" w:rsidRDefault="00B4720D" w:rsidP="00B4720D">
            <w:pPr>
              <w:tabs>
                <w:tab w:val="left" w:pos="319"/>
              </w:tabs>
              <w:jc w:val="both"/>
              <w:rPr>
                <w:b/>
                <w:bCs/>
              </w:rPr>
            </w:pPr>
            <w:r w:rsidRPr="00E30C60">
              <w:rPr>
                <w:b/>
                <w:bCs/>
              </w:rPr>
              <w:t xml:space="preserve">Oil and Gas: </w:t>
            </w:r>
          </w:p>
          <w:p w14:paraId="0F3EC9A2" w14:textId="77777777" w:rsidR="00B4720D" w:rsidRPr="006D66A3" w:rsidRDefault="00B4720D" w:rsidP="00B4720D">
            <w:pPr>
              <w:tabs>
                <w:tab w:val="left" w:pos="319"/>
              </w:tabs>
            </w:pPr>
            <w:r w:rsidRPr="006D66A3">
              <w:t>– Regulatory Accelerators for new oil and gas</w:t>
            </w:r>
            <w:r w:rsidRPr="006D66A3">
              <w:br/>
              <w:t>– Planned new oil and gas licensing, mindful of delivered Climate Checkpoint and energy security</w:t>
            </w:r>
            <w:r w:rsidRPr="006D66A3">
              <w:br/>
              <w:t>– Review of the science on shale gas</w:t>
            </w:r>
            <w:r w:rsidRPr="006D66A3">
              <w:br/>
              <w:t>– Clean electricity for offshore platforms</w:t>
            </w:r>
            <w:r w:rsidRPr="006D66A3">
              <w:br/>
              <w:t>– </w:t>
            </w:r>
            <w:r>
              <w:t>CCUS</w:t>
            </w:r>
            <w:r w:rsidRPr="006D66A3">
              <w:t> clusters to futureproof North Sea</w:t>
            </w:r>
            <w:r w:rsidRPr="006D66A3">
              <w:br/>
              <w:t>– Phase out Russian oil and coal by end 2022 and Russian </w:t>
            </w:r>
            <w:r>
              <w:t>LNG</w:t>
            </w:r>
            <w:r w:rsidRPr="006D66A3">
              <w:t> gas imports as soon as possible thereafter</w:t>
            </w:r>
          </w:p>
          <w:p w14:paraId="76CA1787" w14:textId="77777777" w:rsidR="00B4720D" w:rsidRPr="00E30C60" w:rsidRDefault="00B4720D" w:rsidP="00B4720D">
            <w:pPr>
              <w:pStyle w:val="Odstavecseseznamem"/>
              <w:tabs>
                <w:tab w:val="left" w:pos="319"/>
              </w:tabs>
              <w:ind w:left="0"/>
              <w:jc w:val="both"/>
              <w:rPr>
                <w:b/>
                <w:bCs/>
              </w:rPr>
            </w:pPr>
            <w:r w:rsidRPr="00E30C60">
              <w:rPr>
                <w:b/>
                <w:bCs/>
              </w:rPr>
              <w:t>Nuclear</w:t>
            </w:r>
          </w:p>
          <w:p w14:paraId="41F5816A" w14:textId="77777777" w:rsidR="00B4720D" w:rsidRDefault="00B4720D" w:rsidP="00B4720D">
            <w:pPr>
              <w:pStyle w:val="Odstavecseseznamem"/>
              <w:tabs>
                <w:tab w:val="left" w:pos="319"/>
              </w:tabs>
              <w:ind w:left="0"/>
            </w:pPr>
            <w:r>
              <w:t>-</w:t>
            </w:r>
            <w:r w:rsidRPr="006D66A3">
              <w:t> Up to 8 reactors progressed across the next series of projects</w:t>
            </w:r>
            <w:r w:rsidRPr="006D66A3">
              <w:br/>
              <w:t>– Reaching up to 24GW by 2050 (up to 25% of demand)</w:t>
            </w:r>
            <w:r w:rsidRPr="006D66A3">
              <w:br/>
              <w:t>– Started scoping out the Great British Nuclear Development Vehicle next month</w:t>
            </w:r>
          </w:p>
          <w:p w14:paraId="0272A497" w14:textId="77777777" w:rsidR="00B4720D" w:rsidRPr="00E30C60" w:rsidRDefault="00B4720D" w:rsidP="00B4720D">
            <w:pPr>
              <w:tabs>
                <w:tab w:val="left" w:pos="319"/>
              </w:tabs>
              <w:jc w:val="both"/>
              <w:rPr>
                <w:b/>
                <w:bCs/>
              </w:rPr>
            </w:pPr>
            <w:r w:rsidRPr="00E30C60">
              <w:rPr>
                <w:b/>
                <w:bCs/>
              </w:rPr>
              <w:t xml:space="preserve">Solar </w:t>
            </w:r>
          </w:p>
          <w:p w14:paraId="0320E99C" w14:textId="77777777" w:rsidR="00B4720D" w:rsidRDefault="00B4720D" w:rsidP="00B4720D">
            <w:pPr>
              <w:pStyle w:val="Odstavecseseznamem"/>
              <w:tabs>
                <w:tab w:val="left" w:pos="319"/>
              </w:tabs>
              <w:ind w:left="0"/>
            </w:pPr>
            <w:r w:rsidRPr="006D66A3">
              <w:t>– Consult on amending planning rules to strengthen policy in favour of solar development</w:t>
            </w:r>
            <w:r w:rsidRPr="006D66A3">
              <w:br/>
              <w:t>– Consult on reviewing permitted development rights to support solar deployment</w:t>
            </w:r>
            <w:r w:rsidRPr="006D66A3">
              <w:br/>
              <w:t>– Explore low-cost finance options with retail lenders to help households install rooftop solar</w:t>
            </w:r>
            <w:r w:rsidRPr="006D66A3">
              <w:br/>
              <w:t xml:space="preserve">– Design performance standards to further encourage renewables, </w:t>
            </w:r>
            <w:r w:rsidRPr="006D66A3">
              <w:lastRenderedPageBreak/>
              <w:t>including solar </w:t>
            </w:r>
            <w:r>
              <w:t>PV</w:t>
            </w:r>
            <w:r w:rsidRPr="006D66A3">
              <w:t>, in new homes and buildings</w:t>
            </w:r>
          </w:p>
          <w:p w14:paraId="20AEB45B" w14:textId="77777777" w:rsidR="00B4720D" w:rsidRPr="00E30C60" w:rsidRDefault="00B4720D" w:rsidP="00B4720D">
            <w:pPr>
              <w:pStyle w:val="Odstavecseseznamem"/>
              <w:tabs>
                <w:tab w:val="left" w:pos="319"/>
              </w:tabs>
              <w:ind w:left="0"/>
              <w:rPr>
                <w:b/>
                <w:bCs/>
              </w:rPr>
            </w:pPr>
            <w:r w:rsidRPr="00E30C60">
              <w:rPr>
                <w:b/>
                <w:bCs/>
              </w:rPr>
              <w:t>Wind</w:t>
            </w:r>
          </w:p>
          <w:p w14:paraId="6949D7C0" w14:textId="77777777" w:rsidR="00B4720D" w:rsidRDefault="00B4720D" w:rsidP="00B4720D">
            <w:pPr>
              <w:pStyle w:val="Odstavecseseznamem"/>
              <w:tabs>
                <w:tab w:val="left" w:pos="319"/>
              </w:tabs>
              <w:ind w:left="0"/>
            </w:pPr>
            <w:r w:rsidRPr="00E30C60">
              <w:t>– Halving planning and regulation time for new offshore wind projects</w:t>
            </w:r>
            <w:r w:rsidRPr="00E30C60">
              <w:br/>
              <w:t>– Consult on developing partnerships for a number of onshore wind projects for supportive communities, with associated benefits for local population</w:t>
            </w:r>
            <w:r w:rsidRPr="00E30C60">
              <w:br/>
              <w:t>– Improving community benefits for areas with strategic network infrastructure</w:t>
            </w:r>
            <w:r w:rsidRPr="00E30C60">
              <w:br/>
              <w:t>– By next year, have blueprint for strategic network infrastructure</w:t>
            </w:r>
            <w:r w:rsidRPr="00E30C60">
              <w:br/>
              <w:t>– Networks Commissioner and Future System Operator to help plan ahead</w:t>
            </w:r>
            <w:r w:rsidRPr="00E30C60">
              <w:br/>
              <w:t>– Launch an Offshore Coordination Support Scheme</w:t>
            </w:r>
          </w:p>
          <w:p w14:paraId="50E6CAFF" w14:textId="77777777" w:rsidR="00B4720D" w:rsidRDefault="00B4720D" w:rsidP="00B4720D">
            <w:pPr>
              <w:pStyle w:val="Odstavecseseznamem"/>
              <w:tabs>
                <w:tab w:val="left" w:pos="319"/>
              </w:tabs>
              <w:ind w:left="0"/>
              <w:rPr>
                <w:b/>
                <w:bCs/>
              </w:rPr>
            </w:pPr>
            <w:r w:rsidRPr="00E30C60">
              <w:rPr>
                <w:b/>
                <w:bCs/>
              </w:rPr>
              <w:t xml:space="preserve">Hydrogen </w:t>
            </w:r>
          </w:p>
          <w:p w14:paraId="41068835" w14:textId="77777777" w:rsidR="00B4720D" w:rsidRDefault="00B4720D" w:rsidP="00B4720D">
            <w:pPr>
              <w:pStyle w:val="Odstavecseseznamem"/>
              <w:tabs>
                <w:tab w:val="left" w:pos="319"/>
              </w:tabs>
              <w:ind w:left="0"/>
            </w:pPr>
            <w:r w:rsidRPr="00E30C60">
              <w:t>– Double our ambition to up to 10GW hydrogen production capacity, at least 50% from</w:t>
            </w:r>
            <w:r>
              <w:t xml:space="preserve"> </w:t>
            </w:r>
            <w:r w:rsidRPr="00E30C60">
              <w:t>electrolytic projects</w:t>
            </w:r>
            <w:r w:rsidRPr="00E30C60">
              <w:br/>
              <w:t>– Aim to run annual allocation rounds for the hydrogen business model, moving to price-competitive allocation by 2025 as soon as legislation and market conditions allow</w:t>
            </w:r>
            <w:r w:rsidRPr="00E30C60">
              <w:br/>
              <w:t>– Aim that up to 1GW of electrolytic hydrogen is in operation or construction by 2025, alongside our existing commitment of up to 1GW of </w:t>
            </w:r>
            <w:r>
              <w:t>CCUS</w:t>
            </w:r>
            <w:r w:rsidRPr="00E30C60">
              <w:t>-enabled hydrogen</w:t>
            </w:r>
            <w:r w:rsidRPr="00E30C60">
              <w:br/>
              <w:t>– Design Transport and Storage business models by 2025</w:t>
            </w:r>
          </w:p>
          <w:p w14:paraId="32A41E7D" w14:textId="77777777" w:rsidR="00B4720D" w:rsidRDefault="00B4720D" w:rsidP="00B4720D">
            <w:pPr>
              <w:pStyle w:val="Odstavecseseznamem"/>
              <w:tabs>
                <w:tab w:val="left" w:pos="319"/>
              </w:tabs>
              <w:ind w:left="0"/>
              <w:rPr>
                <w:b/>
                <w:bCs/>
              </w:rPr>
            </w:pPr>
            <w:r w:rsidRPr="00E30C60">
              <w:rPr>
                <w:b/>
                <w:bCs/>
              </w:rPr>
              <w:t>Demand</w:t>
            </w:r>
          </w:p>
          <w:p w14:paraId="5D3274F4" w14:textId="77777777" w:rsidR="00B4720D" w:rsidRPr="00E30C60" w:rsidRDefault="00B4720D" w:rsidP="00B4720D">
            <w:pPr>
              <w:pStyle w:val="Odstavecseseznamem"/>
              <w:tabs>
                <w:tab w:val="left" w:pos="319"/>
              </w:tabs>
              <w:ind w:left="0"/>
            </w:pPr>
            <w:r w:rsidRPr="00E30C60">
              <w:t>– </w:t>
            </w:r>
            <w:r>
              <w:t>VAT</w:t>
            </w:r>
            <w:r w:rsidRPr="00E30C60">
              <w:t xml:space="preserve"> cut for insulation and </w:t>
            </w:r>
            <w:proofErr w:type="spellStart"/>
            <w:r w:rsidRPr="00E30C60">
              <w:t>heatpumps</w:t>
            </w:r>
            <w:proofErr w:type="spellEnd"/>
            <w:r w:rsidRPr="00E30C60">
              <w:br/>
              <w:t>– Facilitating low-cost finance from retail lenders to catalyse green finance market</w:t>
            </w:r>
            <w:r w:rsidRPr="00E30C60">
              <w:br/>
              <w:t>– Heat Pump Investment Accelerator of up to £30 million</w:t>
            </w:r>
            <w:r w:rsidRPr="00E30C60">
              <w:br/>
              <w:t>– Better labelling and product standards so consumers can purchase more efficient products including for heating, lighting, and cooking</w:t>
            </w:r>
            <w:r w:rsidRPr="00E30C60">
              <w:br/>
              <w:t>– Setting clear energy performance standards varying by building type </w:t>
            </w:r>
            <w:r w:rsidRPr="00E30C60">
              <w:br/>
            </w:r>
            <w:r w:rsidRPr="00E30C60">
              <w:lastRenderedPageBreak/>
              <w:t>– Launching our new national digital support tool on GOV.UK, energy advice service, to help consumers improve the energy performance of their homes</w:t>
            </w:r>
            <w:r w:rsidRPr="00E30C60">
              <w:br/>
              <w:t>– Establishing a dedicated energy advice offering for smaller businesses </w:t>
            </w:r>
            <w:r w:rsidRPr="00E30C60">
              <w:br/>
              <w:t>– Extend the </w:t>
            </w:r>
            <w:r>
              <w:t>EII</w:t>
            </w:r>
            <w:r w:rsidRPr="00E30C60">
              <w:t> Compensation Scheme for a further 3 years, and intend to increase the aid intensity to up to 100% (1.5% of </w:t>
            </w:r>
            <w:r>
              <w:t>GVA</w:t>
            </w:r>
            <w:r w:rsidRPr="00E30C60">
              <w:t>) </w:t>
            </w:r>
            <w:r w:rsidRPr="00E30C60">
              <w:br/>
              <w:t>– Consider other measures to support business, including increasing the renewable obligation exemption to 100%</w:t>
            </w:r>
          </w:p>
          <w:p w14:paraId="4B424BDC" w14:textId="77777777" w:rsidR="00B4720D" w:rsidRPr="00200453" w:rsidRDefault="00B4720D" w:rsidP="00B4720D">
            <w:pPr>
              <w:jc w:val="both"/>
            </w:pPr>
          </w:p>
        </w:tc>
        <w:tc>
          <w:tcPr>
            <w:tcW w:w="3260" w:type="dxa"/>
          </w:tcPr>
          <w:p w14:paraId="73BDA2C8" w14:textId="77777777" w:rsidR="00B4720D" w:rsidRDefault="00B4720D" w:rsidP="00B4720D">
            <w:pPr>
              <w:jc w:val="both"/>
            </w:pPr>
            <w:r>
              <w:lastRenderedPageBreak/>
              <w:t>We continue to lobby for level playing field with the EU</w:t>
            </w:r>
          </w:p>
          <w:p w14:paraId="4D1AD34F" w14:textId="77777777" w:rsidR="00B4720D" w:rsidRDefault="00B4720D" w:rsidP="00B4720D">
            <w:pPr>
              <w:pStyle w:val="Odstavecseseznamem"/>
              <w:numPr>
                <w:ilvl w:val="0"/>
                <w:numId w:val="6"/>
              </w:numPr>
              <w:jc w:val="both"/>
            </w:pPr>
            <w:r>
              <w:t>Reduction in network costs similar to mainland Europe</w:t>
            </w:r>
          </w:p>
          <w:p w14:paraId="192952E5" w14:textId="77777777" w:rsidR="00B4720D" w:rsidRDefault="00B4720D" w:rsidP="00B4720D">
            <w:pPr>
              <w:pStyle w:val="Odstavecseseznamem"/>
              <w:numPr>
                <w:ilvl w:val="0"/>
                <w:numId w:val="6"/>
              </w:numPr>
              <w:jc w:val="both"/>
            </w:pPr>
            <w:r>
              <w:t>Linking UK ETS with EU scheme</w:t>
            </w:r>
          </w:p>
          <w:p w14:paraId="615DE2D2" w14:textId="77777777" w:rsidR="00B4720D" w:rsidRDefault="00B4720D" w:rsidP="00B4720D">
            <w:pPr>
              <w:pStyle w:val="Odstavecseseznamem"/>
              <w:numPr>
                <w:ilvl w:val="0"/>
                <w:numId w:val="6"/>
              </w:numPr>
              <w:jc w:val="both"/>
            </w:pPr>
            <w:r>
              <w:t>Indirect costs compensation for UK ETS costs</w:t>
            </w:r>
          </w:p>
          <w:p w14:paraId="49651AF3" w14:textId="69D38501" w:rsidR="00B4720D" w:rsidRPr="00200453" w:rsidRDefault="00B4720D" w:rsidP="00B4720D">
            <w:pPr>
              <w:jc w:val="both"/>
            </w:pPr>
            <w:r>
              <w:t xml:space="preserve">We lobby through the Energy Intensive User Group </w:t>
            </w:r>
          </w:p>
        </w:tc>
      </w:tr>
    </w:tbl>
    <w:p w14:paraId="7973EE1B" w14:textId="77777777" w:rsidR="00200453" w:rsidRPr="00200453" w:rsidRDefault="00200453" w:rsidP="00200453">
      <w:pPr>
        <w:jc w:val="both"/>
        <w:rPr>
          <w:b/>
          <w:bCs/>
          <w:u w:val="single"/>
        </w:rPr>
      </w:pPr>
    </w:p>
    <w:sectPr w:rsidR="00200453" w:rsidRPr="00200453" w:rsidSect="0095208C">
      <w:headerReference w:type="default" r:id="rId23"/>
      <w:footerReference w:type="default" r:id="rId24"/>
      <w:pgSz w:w="16838" w:h="11906" w:orient="landscape"/>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5C7C3" w14:textId="77777777" w:rsidR="008505B7" w:rsidRDefault="008505B7" w:rsidP="0095208C">
      <w:pPr>
        <w:spacing w:after="0" w:line="240" w:lineRule="auto"/>
      </w:pPr>
      <w:r>
        <w:separator/>
      </w:r>
    </w:p>
  </w:endnote>
  <w:endnote w:type="continuationSeparator" w:id="0">
    <w:p w14:paraId="4D47F679" w14:textId="77777777" w:rsidR="008505B7" w:rsidRDefault="008505B7" w:rsidP="0095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38140" w14:textId="77777777" w:rsidR="0095208C" w:rsidRPr="00194ECC" w:rsidRDefault="0095208C" w:rsidP="0095208C">
    <w:pPr>
      <w:pStyle w:val="Zpat"/>
      <w:rPr>
        <w:sz w:val="18"/>
        <w:szCs w:val="18"/>
        <w:lang w:val="fr-BE"/>
      </w:rPr>
    </w:pPr>
    <w:r w:rsidRPr="00194ECC">
      <w:rPr>
        <w:b/>
        <w:bCs/>
        <w:color w:val="2E74B5" w:themeColor="accent5" w:themeShade="BF"/>
        <w:sz w:val="18"/>
        <w:szCs w:val="18"/>
        <w:lang w:val="fr-BE"/>
      </w:rPr>
      <w:t>Glass Alliance Europe</w:t>
    </w:r>
    <w:r w:rsidRPr="00194ECC">
      <w:rPr>
        <w:color w:val="2E74B5" w:themeColor="accent5" w:themeShade="BF"/>
        <w:sz w:val="18"/>
        <w:szCs w:val="18"/>
        <w:lang w:val="fr-BE"/>
      </w:rPr>
      <w:t xml:space="preserve"> </w:t>
    </w:r>
    <w:r w:rsidRPr="00194ECC">
      <w:rPr>
        <w:sz w:val="18"/>
        <w:szCs w:val="18"/>
        <w:lang w:val="fr-BE"/>
      </w:rPr>
      <w:t>aisbl – 89, avenue Louise – 1050 Brussels – Belgium</w:t>
    </w:r>
  </w:p>
  <w:p w14:paraId="6F62744D" w14:textId="77777777" w:rsidR="0095208C" w:rsidRDefault="0095208C" w:rsidP="0095208C">
    <w:pPr>
      <w:pStyle w:val="Zpat"/>
      <w:tabs>
        <w:tab w:val="clear" w:pos="4513"/>
        <w:tab w:val="clear" w:pos="9026"/>
        <w:tab w:val="left" w:pos="1164"/>
      </w:tabs>
    </w:pPr>
    <w:r w:rsidRPr="0095208C">
      <w:rPr>
        <w:sz w:val="18"/>
        <w:szCs w:val="18"/>
      </w:rPr>
      <w:t xml:space="preserve">Tel. +32 (0)470 428 778 – </w:t>
    </w:r>
    <w:hyperlink r:id="rId1" w:history="1">
      <w:r w:rsidRPr="0095208C">
        <w:rPr>
          <w:rStyle w:val="Hypertextovodkaz"/>
          <w:sz w:val="18"/>
          <w:szCs w:val="18"/>
        </w:rPr>
        <w:t>info@glassallianceeurope.eu</w:t>
      </w:r>
    </w:hyperlink>
    <w:r w:rsidRPr="0095208C">
      <w:rPr>
        <w:sz w:val="18"/>
        <w:szCs w:val="18"/>
      </w:rPr>
      <w:t xml:space="preserve"> – </w:t>
    </w:r>
    <w:hyperlink r:id="rId2" w:history="1">
      <w:r w:rsidRPr="0095208C">
        <w:rPr>
          <w:rStyle w:val="Hypertextovodkaz"/>
          <w:sz w:val="18"/>
          <w:szCs w:val="18"/>
        </w:rPr>
        <w:t>www.glassallianceeurope.eu</w:t>
      </w:r>
    </w:hyperlink>
    <w:r w:rsidRPr="0095208C">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17A37" w14:textId="77777777" w:rsidR="008505B7" w:rsidRDefault="008505B7" w:rsidP="0095208C">
      <w:pPr>
        <w:spacing w:after="0" w:line="240" w:lineRule="auto"/>
      </w:pPr>
      <w:r>
        <w:separator/>
      </w:r>
    </w:p>
  </w:footnote>
  <w:footnote w:type="continuationSeparator" w:id="0">
    <w:p w14:paraId="75CBD38A" w14:textId="77777777" w:rsidR="008505B7" w:rsidRDefault="008505B7" w:rsidP="00952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0EC0D" w14:textId="77777777" w:rsidR="0095208C" w:rsidRDefault="0095208C">
    <w:pPr>
      <w:pStyle w:val="Zhlav"/>
    </w:pPr>
    <w:r>
      <w:rPr>
        <w:noProof/>
        <w:lang w:val="cs-CZ" w:eastAsia="ja-JP"/>
      </w:rPr>
      <w:drawing>
        <wp:inline distT="0" distB="0" distL="0" distR="0" wp14:anchorId="53178176" wp14:editId="47CE5EAA">
          <wp:extent cx="1775460" cy="822960"/>
          <wp:effectExtent l="0" t="0" r="0" b="0"/>
          <wp:docPr id="3" name="Picture 3" descr="C:\Users\Véronique\AppData\Local\Microsoft\Windows\Temporary Internet Files\Content.Outlook\B44I0FFP\Glass-Alliance-logo.jpg"/>
          <wp:cNvGraphicFramePr/>
          <a:graphic xmlns:a="http://schemas.openxmlformats.org/drawingml/2006/main">
            <a:graphicData uri="http://schemas.openxmlformats.org/drawingml/2006/picture">
              <pic:pic xmlns:pic="http://schemas.openxmlformats.org/drawingml/2006/picture">
                <pic:nvPicPr>
                  <pic:cNvPr id="357" name="Picture 1" descr="C:\Users\Véronique\AppData\Local\Microsoft\Windows\Temporary Internet Files\Content.Outlook\B44I0FFP\Glass-Alliance-logo.jpg"/>
                  <pic:cNvPicPr/>
                </pic:nvPicPr>
                <pic:blipFill>
                  <a:blip r:embed="rId1" cstate="print"/>
                  <a:srcRect/>
                  <a:stretch>
                    <a:fillRect/>
                  </a:stretch>
                </pic:blipFill>
                <pic:spPr bwMode="auto">
                  <a:xfrm>
                    <a:off x="0" y="0"/>
                    <a:ext cx="1781652" cy="8258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08BB"/>
    <w:multiLevelType w:val="hybridMultilevel"/>
    <w:tmpl w:val="9FE0E13E"/>
    <w:lvl w:ilvl="0" w:tplc="57FA64C6">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nsid w:val="1FCB75CA"/>
    <w:multiLevelType w:val="hybridMultilevel"/>
    <w:tmpl w:val="2E4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7475A8"/>
    <w:multiLevelType w:val="hybridMultilevel"/>
    <w:tmpl w:val="FEB0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DC615C"/>
    <w:multiLevelType w:val="hybridMultilevel"/>
    <w:tmpl w:val="7E8E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BE3282"/>
    <w:multiLevelType w:val="hybridMultilevel"/>
    <w:tmpl w:val="EB886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2110D71"/>
    <w:multiLevelType w:val="hybridMultilevel"/>
    <w:tmpl w:val="A93C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53"/>
    <w:rsid w:val="00032D22"/>
    <w:rsid w:val="00136F2C"/>
    <w:rsid w:val="00153AEB"/>
    <w:rsid w:val="00194ECC"/>
    <w:rsid w:val="001A5238"/>
    <w:rsid w:val="00200453"/>
    <w:rsid w:val="00244081"/>
    <w:rsid w:val="002F656C"/>
    <w:rsid w:val="00347CE6"/>
    <w:rsid w:val="00426CB7"/>
    <w:rsid w:val="00476029"/>
    <w:rsid w:val="004B1B8B"/>
    <w:rsid w:val="006F5616"/>
    <w:rsid w:val="00773178"/>
    <w:rsid w:val="007F41BF"/>
    <w:rsid w:val="008505B7"/>
    <w:rsid w:val="00854B93"/>
    <w:rsid w:val="00860A31"/>
    <w:rsid w:val="0095208C"/>
    <w:rsid w:val="009A4C1B"/>
    <w:rsid w:val="009F2474"/>
    <w:rsid w:val="00A3260D"/>
    <w:rsid w:val="00A8342D"/>
    <w:rsid w:val="00B4720D"/>
    <w:rsid w:val="00B50AFC"/>
    <w:rsid w:val="00B9282E"/>
    <w:rsid w:val="00C671A0"/>
    <w:rsid w:val="00C73951"/>
    <w:rsid w:val="00EA0020"/>
    <w:rsid w:val="00FC4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9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00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9F2474"/>
    <w:rPr>
      <w:color w:val="0563C1" w:themeColor="hyperlink"/>
      <w:u w:val="single"/>
    </w:rPr>
  </w:style>
  <w:style w:type="character" w:customStyle="1" w:styleId="UnresolvedMention">
    <w:name w:val="Unresolved Mention"/>
    <w:basedOn w:val="Standardnpsmoodstavce"/>
    <w:uiPriority w:val="99"/>
    <w:semiHidden/>
    <w:unhideWhenUsed/>
    <w:rsid w:val="009F2474"/>
    <w:rPr>
      <w:color w:val="605E5C"/>
      <w:shd w:val="clear" w:color="auto" w:fill="E1DFDD"/>
    </w:rPr>
  </w:style>
  <w:style w:type="paragraph" w:styleId="Odstavecseseznamem">
    <w:name w:val="List Paragraph"/>
    <w:basedOn w:val="Normln"/>
    <w:uiPriority w:val="34"/>
    <w:qFormat/>
    <w:rsid w:val="00244081"/>
    <w:pPr>
      <w:ind w:left="720"/>
      <w:contextualSpacing/>
    </w:pPr>
  </w:style>
  <w:style w:type="paragraph" w:styleId="Zhlav">
    <w:name w:val="header"/>
    <w:basedOn w:val="Normln"/>
    <w:link w:val="ZhlavChar"/>
    <w:uiPriority w:val="99"/>
    <w:unhideWhenUsed/>
    <w:rsid w:val="0095208C"/>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95208C"/>
  </w:style>
  <w:style w:type="paragraph" w:styleId="Zpat">
    <w:name w:val="footer"/>
    <w:basedOn w:val="Normln"/>
    <w:link w:val="ZpatChar"/>
    <w:uiPriority w:val="99"/>
    <w:unhideWhenUsed/>
    <w:qFormat/>
    <w:rsid w:val="0095208C"/>
    <w:pPr>
      <w:tabs>
        <w:tab w:val="center" w:pos="4513"/>
        <w:tab w:val="right" w:pos="9026"/>
      </w:tabs>
      <w:spacing w:after="0" w:line="240" w:lineRule="auto"/>
    </w:pPr>
  </w:style>
  <w:style w:type="character" w:customStyle="1" w:styleId="ZpatChar">
    <w:name w:val="Zápatí Char"/>
    <w:basedOn w:val="Standardnpsmoodstavce"/>
    <w:link w:val="Zpat"/>
    <w:uiPriority w:val="99"/>
    <w:rsid w:val="0095208C"/>
  </w:style>
  <w:style w:type="paragraph" w:customStyle="1" w:styleId="td-post-sub-title">
    <w:name w:val="td-post-sub-title"/>
    <w:basedOn w:val="Normln"/>
    <w:rsid w:val="009520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bubliny">
    <w:name w:val="Balloon Text"/>
    <w:basedOn w:val="Normln"/>
    <w:link w:val="TextbublinyChar"/>
    <w:uiPriority w:val="99"/>
    <w:semiHidden/>
    <w:unhideWhenUsed/>
    <w:rsid w:val="004760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60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00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9F2474"/>
    <w:rPr>
      <w:color w:val="0563C1" w:themeColor="hyperlink"/>
      <w:u w:val="single"/>
    </w:rPr>
  </w:style>
  <w:style w:type="character" w:customStyle="1" w:styleId="UnresolvedMention">
    <w:name w:val="Unresolved Mention"/>
    <w:basedOn w:val="Standardnpsmoodstavce"/>
    <w:uiPriority w:val="99"/>
    <w:semiHidden/>
    <w:unhideWhenUsed/>
    <w:rsid w:val="009F2474"/>
    <w:rPr>
      <w:color w:val="605E5C"/>
      <w:shd w:val="clear" w:color="auto" w:fill="E1DFDD"/>
    </w:rPr>
  </w:style>
  <w:style w:type="paragraph" w:styleId="Odstavecseseznamem">
    <w:name w:val="List Paragraph"/>
    <w:basedOn w:val="Normln"/>
    <w:uiPriority w:val="34"/>
    <w:qFormat/>
    <w:rsid w:val="00244081"/>
    <w:pPr>
      <w:ind w:left="720"/>
      <w:contextualSpacing/>
    </w:pPr>
  </w:style>
  <w:style w:type="paragraph" w:styleId="Zhlav">
    <w:name w:val="header"/>
    <w:basedOn w:val="Normln"/>
    <w:link w:val="ZhlavChar"/>
    <w:uiPriority w:val="99"/>
    <w:unhideWhenUsed/>
    <w:rsid w:val="0095208C"/>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95208C"/>
  </w:style>
  <w:style w:type="paragraph" w:styleId="Zpat">
    <w:name w:val="footer"/>
    <w:basedOn w:val="Normln"/>
    <w:link w:val="ZpatChar"/>
    <w:uiPriority w:val="99"/>
    <w:unhideWhenUsed/>
    <w:qFormat/>
    <w:rsid w:val="0095208C"/>
    <w:pPr>
      <w:tabs>
        <w:tab w:val="center" w:pos="4513"/>
        <w:tab w:val="right" w:pos="9026"/>
      </w:tabs>
      <w:spacing w:after="0" w:line="240" w:lineRule="auto"/>
    </w:pPr>
  </w:style>
  <w:style w:type="character" w:customStyle="1" w:styleId="ZpatChar">
    <w:name w:val="Zápatí Char"/>
    <w:basedOn w:val="Standardnpsmoodstavce"/>
    <w:link w:val="Zpat"/>
    <w:uiPriority w:val="99"/>
    <w:rsid w:val="0095208C"/>
  </w:style>
  <w:style w:type="paragraph" w:customStyle="1" w:styleId="td-post-sub-title">
    <w:name w:val="td-post-sub-title"/>
    <w:basedOn w:val="Normln"/>
    <w:rsid w:val="009520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bubliny">
    <w:name w:val="Balloon Text"/>
    <w:basedOn w:val="Normln"/>
    <w:link w:val="TextbublinyChar"/>
    <w:uiPriority w:val="99"/>
    <w:semiHidden/>
    <w:unhideWhenUsed/>
    <w:rsid w:val="004760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6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glassforeurope.com/wp-content/uploads/2022/03/GlassforEurope-Continuous-energy-supply-March-2022.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france.gouv.fr/jorf/id/JORFTEXT000045530674" TargetMode="External"/><Relationship Id="rId7" Type="http://schemas.openxmlformats.org/officeDocument/2006/relationships/settings" Target="settings.xml"/><Relationship Id="rId12" Type="http://schemas.openxmlformats.org/officeDocument/2006/relationships/hyperlink" Target="https://ec.europa.eu/competition/state_aid/legislation/temp_framework_en.pdf" TargetMode="External"/><Relationship Id="rId17" Type="http://schemas.openxmlformats.org/officeDocument/2006/relationships/hyperlink" Target="https://feve.org/wp-content/uploads/2022/03/FEVE-Position-on-non-interruptability-of-energy-supply-1003202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lassallianceeurope.eu/images/para/22-03-09-joint-eii-statement-energy-crisis_file.pdf" TargetMode="External"/><Relationship Id="rId20" Type="http://schemas.openxmlformats.org/officeDocument/2006/relationships/hyperlink" Target="https://www.bmwk.de/Redaktion/DE/Downloads/M-O/massnahmenueberblick-schutzschild-der-breg-fuer-vom-krieg-betroffene-unternehmen.pdf?__blob=publicationFile&amp;v=4"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ur-lex.europa.eu/legal-content/EN/TXT/?uri=COM%3A2022%3A108%3AFIN"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ur-lex.europa.eu/legal-content/EN/TXT/?uri=COM%3A2022%3A108%3AFI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uractiv.com/section/energy-environment/opinion/lets-get-the-fitfor55-package-right-to-trigger-the-much-needed-virtuous-cycle-of-decarbonisatio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s://www.lamoncloa.gob.es/consejodeministros/referencias/Paginas/2022/refc20220329_corregidav02.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lassallianceeurope.eu" TargetMode="External"/><Relationship Id="rId1" Type="http://schemas.openxmlformats.org/officeDocument/2006/relationships/hyperlink" Target="mailto:info@glassalliance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BA38AD08F784590D6C011ACBD2ECD" ma:contentTypeVersion="14" ma:contentTypeDescription="Create a new document." ma:contentTypeScope="" ma:versionID="c7f82345861a1e84eb3cc5d6954dc310">
  <xsd:schema xmlns:xsd="http://www.w3.org/2001/XMLSchema" xmlns:xs="http://www.w3.org/2001/XMLSchema" xmlns:p="http://schemas.microsoft.com/office/2006/metadata/properties" xmlns:ns3="df49a5d6-baba-424e-95c2-06bf07fd1ed8" xmlns:ns4="8c1f7077-9731-4da0-9338-62a4e7738b7d" targetNamespace="http://schemas.microsoft.com/office/2006/metadata/properties" ma:root="true" ma:fieldsID="a252af3df4c74767e2a368ffa60805d9" ns3:_="" ns4:_="">
    <xsd:import namespace="df49a5d6-baba-424e-95c2-06bf07fd1ed8"/>
    <xsd:import namespace="8c1f7077-9731-4da0-9338-62a4e7738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5d6-baba-424e-95c2-06bf07fd1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f7077-9731-4da0-9338-62a4e7738b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B94BC-D53F-4F1A-8AAF-9FF28F093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5d6-baba-424e-95c2-06bf07fd1ed8"/>
    <ds:schemaRef ds:uri="8c1f7077-9731-4da0-9338-62a4e773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27EC0-6885-486A-AE7C-032F5988A1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AA550C-FA7F-4C84-8BFC-1159C290A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2213</Words>
  <Characters>13061</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AGC Glass Europe</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Cazes - Glass for Europe</dc:creator>
  <cp:lastModifiedBy>AsociaceSKP</cp:lastModifiedBy>
  <cp:revision>2</cp:revision>
  <dcterms:created xsi:type="dcterms:W3CDTF">2022-05-04T10:09:00Z</dcterms:created>
  <dcterms:modified xsi:type="dcterms:W3CDTF">2022-05-04T10:09:00Z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0x010100399BA38AD08F784590D6C011ACBD2ECD</vt:lpwstr>
  </property>
</Properties>
</file>