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5E055" w14:textId="77777777" w:rsidR="004D44DA" w:rsidRPr="00D755BF" w:rsidRDefault="004D44DA" w:rsidP="00EF4D19">
      <w:pPr>
        <w:pStyle w:val="Default"/>
        <w:spacing w:before="120" w:after="120"/>
        <w:jc w:val="center"/>
        <w:rPr>
          <w:b/>
          <w:bCs/>
          <w:color w:val="00A8CB"/>
          <w:sz w:val="32"/>
          <w:szCs w:val="32"/>
        </w:rPr>
      </w:pPr>
      <w:bookmarkStart w:id="0" w:name="_GoBack"/>
      <w:bookmarkEnd w:id="0"/>
    </w:p>
    <w:p w14:paraId="5E538C0F" w14:textId="03F90619" w:rsidR="0062028C" w:rsidRDefault="007B3E41" w:rsidP="007B3E41">
      <w:pPr>
        <w:pStyle w:val="Default"/>
        <w:spacing w:before="120"/>
        <w:jc w:val="center"/>
        <w:rPr>
          <w:b/>
          <w:bCs/>
          <w:color w:val="00A8CB"/>
          <w:sz w:val="40"/>
          <w:szCs w:val="40"/>
        </w:rPr>
      </w:pPr>
      <w:r>
        <w:rPr>
          <w:b/>
          <w:bCs/>
          <w:color w:val="00A8CB"/>
          <w:sz w:val="40"/>
          <w:szCs w:val="40"/>
        </w:rPr>
        <w:t>The EU ETS Reform</w:t>
      </w:r>
    </w:p>
    <w:p w14:paraId="504C5E87" w14:textId="73E2A8BD" w:rsidR="007B3E41" w:rsidRPr="007B3E41" w:rsidRDefault="007B3E41" w:rsidP="007B3E41">
      <w:pPr>
        <w:pStyle w:val="Nadpis2"/>
        <w:jc w:val="center"/>
        <w:rPr>
          <w:rFonts w:asciiTheme="minorHAnsi" w:hAnsiTheme="minorHAnsi" w:cstheme="minorHAnsi"/>
          <w:sz w:val="28"/>
          <w:szCs w:val="28"/>
        </w:rPr>
      </w:pPr>
      <w:r w:rsidRPr="007B3E41">
        <w:rPr>
          <w:rFonts w:asciiTheme="minorHAnsi" w:hAnsiTheme="minorHAnsi" w:cstheme="minorHAnsi"/>
          <w:sz w:val="28"/>
          <w:szCs w:val="28"/>
        </w:rPr>
        <w:t>A revision to accompany the glass industry transition</w:t>
      </w:r>
    </w:p>
    <w:p w14:paraId="586C04D1" w14:textId="3B6C5265" w:rsidR="0062028C" w:rsidRPr="00DD46B1" w:rsidRDefault="00B02FD5" w:rsidP="00FF0A84">
      <w:pPr>
        <w:tabs>
          <w:tab w:val="left" w:pos="1325"/>
          <w:tab w:val="center" w:pos="4513"/>
        </w:tabs>
        <w:spacing w:after="0"/>
        <w:rPr>
          <w:b/>
          <w:bCs/>
          <w:u w:val="single"/>
        </w:rPr>
      </w:pPr>
      <w:r>
        <w:rPr>
          <w:rFonts w:ascii="Calibri" w:hAnsi="Calibri" w:cs="Calibri"/>
          <w:sz w:val="28"/>
          <w:szCs w:val="28"/>
          <w:lang w:val="en-US"/>
        </w:rPr>
        <w:tab/>
      </w:r>
      <w:r>
        <w:rPr>
          <w:rFonts w:ascii="Calibri" w:hAnsi="Calibri" w:cs="Calibri"/>
          <w:sz w:val="28"/>
          <w:szCs w:val="28"/>
          <w:lang w:val="en-US"/>
        </w:rPr>
        <w:tab/>
      </w:r>
      <w:r w:rsidR="0062028C" w:rsidRPr="00DD46B1">
        <w:rPr>
          <w:b/>
          <w:bCs/>
          <w:u w:val="single"/>
        </w:rPr>
        <w:t>Position paper</w:t>
      </w:r>
    </w:p>
    <w:p w14:paraId="696A2960" w14:textId="0930058F" w:rsidR="007048CF" w:rsidRPr="00AC6B0B" w:rsidRDefault="007B3E41" w:rsidP="00A45068">
      <w:pPr>
        <w:spacing w:before="120" w:after="120"/>
        <w:jc w:val="right"/>
        <w:rPr>
          <w:lang w:val="en-US"/>
        </w:rPr>
      </w:pPr>
      <w:r>
        <w:rPr>
          <w:lang w:val="en-US"/>
        </w:rPr>
        <w:t>May 2022</w:t>
      </w:r>
    </w:p>
    <w:p w14:paraId="18FB305E" w14:textId="77777777" w:rsidR="0040444E" w:rsidRPr="00326D7D" w:rsidRDefault="0040444E" w:rsidP="00B40774">
      <w:r w:rsidRPr="00326D7D">
        <w:t>Glass Alliance Europe fully supports the decarbonisation objectives set in the Climate Law to address climate change and its harmful consequences on our planet</w:t>
      </w:r>
      <w:r>
        <w:t>, and wishes to share its view on the ongoing reform of the EU ETS.</w:t>
      </w:r>
    </w:p>
    <w:p w14:paraId="777B4C21" w14:textId="77777777" w:rsidR="0040444E" w:rsidRPr="00326D7D" w:rsidRDefault="0040444E" w:rsidP="00B40774">
      <w:r w:rsidRPr="00326D7D">
        <w:t xml:space="preserve">The glass industry is committed to undertake the journey towards full decarbonisation. Several technologies exist or are under development to do so: electrification of the furnace, hydrogen and/or biomass combustion constitute promising technologies to further reduce emissions linked to combustion, representing about 80% of the greenhouse gases emissions in the glass industry. The remaining 20%, related to the decomposition of raw materials, are more difficult to </w:t>
      </w:r>
      <w:r>
        <w:t>abate,</w:t>
      </w:r>
      <w:r w:rsidRPr="00326D7D">
        <w:t xml:space="preserve"> but increased glass recycling, alternative raw materials or even CCS/U </w:t>
      </w:r>
      <w:r>
        <w:t xml:space="preserve">could </w:t>
      </w:r>
      <w:r w:rsidRPr="00326D7D">
        <w:t xml:space="preserve">bring solutions.  </w:t>
      </w:r>
    </w:p>
    <w:p w14:paraId="502480DA" w14:textId="77777777" w:rsidR="0040444E" w:rsidRDefault="0040444E" w:rsidP="0040444E">
      <w:r w:rsidRPr="00326D7D">
        <w:t xml:space="preserve">All these new technologies come yet with additional costs and the glass industry will have to invest massively to implement them. </w:t>
      </w:r>
      <w:r>
        <w:t>T</w:t>
      </w:r>
      <w:r w:rsidRPr="00326D7D">
        <w:t xml:space="preserve">his represents </w:t>
      </w:r>
      <w:r>
        <w:t>a tremendous challenge</w:t>
      </w:r>
      <w:r w:rsidRPr="00326D7D">
        <w:t xml:space="preserve"> not </w:t>
      </w:r>
      <w:r>
        <w:t xml:space="preserve">to </w:t>
      </w:r>
      <w:r w:rsidRPr="00326D7D">
        <w:t>be underestimated</w:t>
      </w:r>
      <w:r>
        <w:t xml:space="preserve"> under </w:t>
      </w:r>
      <w:r w:rsidRPr="00326D7D">
        <w:t>the current context of sky-rocketing energy and carbon</w:t>
      </w:r>
      <w:r>
        <w:t xml:space="preserve"> prices</w:t>
      </w:r>
      <w:r w:rsidRPr="00326D7D">
        <w:t xml:space="preserve">. </w:t>
      </w:r>
    </w:p>
    <w:tbl>
      <w:tblPr>
        <w:tblStyle w:val="Mkatabulky"/>
        <w:tblW w:w="0" w:type="auto"/>
        <w:tblLook w:val="04A0" w:firstRow="1" w:lastRow="0" w:firstColumn="1" w:lastColumn="0" w:noHBand="0" w:noVBand="1"/>
      </w:tblPr>
      <w:tblGrid>
        <w:gridCol w:w="9016"/>
      </w:tblGrid>
      <w:tr w:rsidR="006A7DAD" w14:paraId="562C288D" w14:textId="77777777" w:rsidTr="00B6672C">
        <w:tc>
          <w:tcPr>
            <w:tcW w:w="9016" w:type="dxa"/>
            <w:tcBorders>
              <w:top w:val="single" w:sz="4" w:space="0" w:color="00B0F0"/>
              <w:left w:val="single" w:sz="4" w:space="0" w:color="00B0F0"/>
              <w:bottom w:val="single" w:sz="4" w:space="0" w:color="00B0F0"/>
              <w:right w:val="single" w:sz="4" w:space="0" w:color="00B0F0"/>
            </w:tcBorders>
          </w:tcPr>
          <w:p w14:paraId="59B4D344" w14:textId="77777777" w:rsidR="00E16027" w:rsidRPr="006043D2" w:rsidRDefault="00E16027" w:rsidP="006043D2">
            <w:pPr>
              <w:jc w:val="both"/>
              <w:rPr>
                <w:rFonts w:eastAsia="Cambria" w:cstheme="minorHAnsi"/>
                <w:b/>
                <w:bCs/>
                <w:color w:val="00A8CB"/>
                <w:lang w:eastAsia="en-GB"/>
              </w:rPr>
            </w:pPr>
            <w:r w:rsidRPr="006043D2">
              <w:rPr>
                <w:rFonts w:eastAsia="Cambria" w:cstheme="minorHAnsi"/>
                <w:b/>
                <w:bCs/>
                <w:color w:val="00A8CB"/>
                <w:lang w:eastAsia="en-GB"/>
              </w:rPr>
              <w:t>It is therefore particularly important to make use of the current EU ETS revision to adapt the legislative framework to make it conducive to the industry transformation while preserving its capacity to innovate and invest. The glass contribution to the reform focuses on three fundamental aspects:</w:t>
            </w:r>
          </w:p>
          <w:p w14:paraId="0919C4F4" w14:textId="77777777" w:rsidR="00E16027" w:rsidRPr="006043D2" w:rsidRDefault="00E16027" w:rsidP="006043D2">
            <w:pPr>
              <w:pStyle w:val="Odstavecseseznamem"/>
              <w:numPr>
                <w:ilvl w:val="0"/>
                <w:numId w:val="26"/>
              </w:numPr>
              <w:spacing w:after="120"/>
              <w:jc w:val="both"/>
              <w:rPr>
                <w:rFonts w:eastAsia="Cambria" w:cstheme="minorHAnsi"/>
                <w:b/>
                <w:bCs/>
                <w:color w:val="00A8CB"/>
                <w:lang w:eastAsia="en-GB"/>
              </w:rPr>
            </w:pPr>
            <w:r w:rsidRPr="006043D2">
              <w:rPr>
                <w:rFonts w:eastAsia="Cambria" w:cstheme="minorHAnsi"/>
                <w:b/>
                <w:bCs/>
                <w:color w:val="00A8CB"/>
                <w:lang w:eastAsia="en-GB"/>
              </w:rPr>
              <w:t>To preserve the investment capacity in the industry and provide for a predictable framework</w:t>
            </w:r>
          </w:p>
          <w:p w14:paraId="3CA571AC" w14:textId="77777777" w:rsidR="00E16027" w:rsidRPr="006043D2" w:rsidRDefault="00E16027" w:rsidP="006043D2">
            <w:pPr>
              <w:pStyle w:val="Odstavecseseznamem"/>
              <w:numPr>
                <w:ilvl w:val="0"/>
                <w:numId w:val="26"/>
              </w:numPr>
              <w:spacing w:after="120"/>
              <w:jc w:val="both"/>
              <w:rPr>
                <w:rFonts w:eastAsia="Cambria" w:cstheme="minorHAnsi"/>
                <w:b/>
                <w:bCs/>
                <w:color w:val="00A8CB"/>
                <w:lang w:eastAsia="en-GB"/>
              </w:rPr>
            </w:pPr>
            <w:r w:rsidRPr="006043D2">
              <w:rPr>
                <w:rFonts w:eastAsia="Cambria" w:cstheme="minorHAnsi"/>
                <w:b/>
                <w:bCs/>
                <w:color w:val="00A8CB"/>
                <w:lang w:eastAsia="en-GB"/>
              </w:rPr>
              <w:t>To make use of the EU ETS reform to further support innovation in hard to abate sectors</w:t>
            </w:r>
          </w:p>
          <w:p w14:paraId="25E826FB" w14:textId="1CDCC013" w:rsidR="00767AE1" w:rsidRPr="006043D2" w:rsidRDefault="00E16027" w:rsidP="006043D2">
            <w:pPr>
              <w:pStyle w:val="Odstavecseseznamem"/>
              <w:numPr>
                <w:ilvl w:val="0"/>
                <w:numId w:val="26"/>
              </w:numPr>
              <w:spacing w:after="120"/>
              <w:jc w:val="both"/>
              <w:rPr>
                <w:b/>
                <w:bCs/>
                <w:color w:val="00B0F0"/>
                <w:lang w:val="en-US"/>
              </w:rPr>
            </w:pPr>
            <w:r w:rsidRPr="006043D2">
              <w:rPr>
                <w:rFonts w:eastAsia="Cambria" w:cstheme="minorHAnsi"/>
                <w:b/>
                <w:bCs/>
                <w:color w:val="00A8CB"/>
                <w:lang w:eastAsia="en-GB"/>
              </w:rPr>
              <w:t>To preserve the stability and integrity of the EU ETS</w:t>
            </w:r>
          </w:p>
        </w:tc>
      </w:tr>
    </w:tbl>
    <w:p w14:paraId="4B987633" w14:textId="6835E0BD" w:rsidR="00660041" w:rsidRPr="00995C16" w:rsidRDefault="00367C8D" w:rsidP="00801E98">
      <w:pPr>
        <w:pStyle w:val="Odstavecseseznamem"/>
        <w:numPr>
          <w:ilvl w:val="0"/>
          <w:numId w:val="17"/>
        </w:numPr>
        <w:spacing w:before="160" w:after="120"/>
        <w:jc w:val="center"/>
        <w:rPr>
          <w:b/>
          <w:sz w:val="28"/>
          <w:szCs w:val="28"/>
          <w:lang w:val="en-US"/>
        </w:rPr>
      </w:pPr>
      <w:r>
        <w:rPr>
          <w:b/>
          <w:sz w:val="28"/>
          <w:szCs w:val="28"/>
          <w:lang w:val="en-US"/>
        </w:rPr>
        <w:t>Pr</w:t>
      </w:r>
      <w:r w:rsidR="00274AA6">
        <w:rPr>
          <w:b/>
          <w:sz w:val="28"/>
          <w:szCs w:val="28"/>
          <w:lang w:val="en-US"/>
        </w:rPr>
        <w:t xml:space="preserve">eserve the investment capacity </w:t>
      </w:r>
      <w:r>
        <w:rPr>
          <w:b/>
          <w:sz w:val="28"/>
          <w:szCs w:val="28"/>
          <w:lang w:val="en-US"/>
        </w:rPr>
        <w:t xml:space="preserve">and </w:t>
      </w:r>
      <w:r w:rsidR="00FF68EB">
        <w:rPr>
          <w:b/>
          <w:sz w:val="28"/>
          <w:szCs w:val="28"/>
          <w:lang w:val="en-US"/>
        </w:rPr>
        <w:t xml:space="preserve">provide for </w:t>
      </w:r>
      <w:r>
        <w:rPr>
          <w:b/>
          <w:sz w:val="28"/>
          <w:szCs w:val="28"/>
          <w:lang w:val="en-US"/>
        </w:rPr>
        <w:t>predictability</w:t>
      </w:r>
    </w:p>
    <w:p w14:paraId="015D2E34" w14:textId="77777777" w:rsidR="000401C9" w:rsidRPr="00326D7D" w:rsidRDefault="000401C9" w:rsidP="000401C9">
      <w:pPr>
        <w:rPr>
          <w:rStyle w:val="markedcontent"/>
          <w:rFonts w:cstheme="minorHAnsi"/>
        </w:rPr>
      </w:pPr>
      <w:r w:rsidRPr="00326D7D">
        <w:rPr>
          <w:rStyle w:val="markedcontent"/>
          <w:rFonts w:cstheme="minorHAnsi"/>
        </w:rPr>
        <w:t>Predictability and stability must be at the core of the ETS system if it is to deliver the expected levels of GHG emission reductions while securing investments from sectors that are characterised by their</w:t>
      </w:r>
      <w:r>
        <w:rPr>
          <w:rStyle w:val="markedcontent"/>
          <w:rFonts w:cstheme="minorHAnsi"/>
        </w:rPr>
        <w:t xml:space="preserve"> </w:t>
      </w:r>
      <w:r w:rsidRPr="00326D7D">
        <w:rPr>
          <w:rStyle w:val="markedcontent"/>
          <w:rFonts w:cstheme="minorHAnsi"/>
        </w:rPr>
        <w:t xml:space="preserve">long investment cycles. Carbon leakage protection measures providing full protection at the level of the benchmark are essential until a global agreement is in place </w:t>
      </w:r>
      <w:r>
        <w:rPr>
          <w:rStyle w:val="markedcontent"/>
          <w:rFonts w:cstheme="minorHAnsi"/>
        </w:rPr>
        <w:t>requiring</w:t>
      </w:r>
      <w:r w:rsidRPr="00326D7D">
        <w:rPr>
          <w:rStyle w:val="markedcontent"/>
          <w:rFonts w:cstheme="minorHAnsi"/>
        </w:rPr>
        <w:t xml:space="preserve"> competitors outside the EU to meet the same conditions and </w:t>
      </w:r>
      <w:r>
        <w:rPr>
          <w:rStyle w:val="markedcontent"/>
          <w:rFonts w:cstheme="minorHAnsi"/>
        </w:rPr>
        <w:t>obligations</w:t>
      </w:r>
      <w:r w:rsidRPr="00326D7D">
        <w:rPr>
          <w:rStyle w:val="markedcontent"/>
          <w:rFonts w:cstheme="minorHAnsi"/>
        </w:rPr>
        <w:t xml:space="preserve">. </w:t>
      </w:r>
    </w:p>
    <w:p w14:paraId="6EC235A3" w14:textId="77777777" w:rsidR="000401C9" w:rsidRPr="00326D7D" w:rsidRDefault="000401C9" w:rsidP="000401C9">
      <w:pPr>
        <w:rPr>
          <w:rStyle w:val="markedcontent"/>
          <w:rFonts w:cstheme="minorHAnsi"/>
        </w:rPr>
      </w:pPr>
      <w:r w:rsidRPr="00326D7D">
        <w:rPr>
          <w:rStyle w:val="markedcontent"/>
          <w:rFonts w:cstheme="minorHAnsi"/>
        </w:rPr>
        <w:t xml:space="preserve">Therefore, the glass </w:t>
      </w:r>
      <w:r>
        <w:rPr>
          <w:rStyle w:val="markedcontent"/>
          <w:rFonts w:cstheme="minorHAnsi"/>
        </w:rPr>
        <w:t>industry</w:t>
      </w:r>
      <w:r w:rsidRPr="00326D7D">
        <w:rPr>
          <w:rStyle w:val="markedcontent"/>
          <w:rFonts w:cstheme="minorHAnsi"/>
        </w:rPr>
        <w:t xml:space="preserve"> recommend</w:t>
      </w:r>
      <w:r>
        <w:rPr>
          <w:rStyle w:val="markedcontent"/>
          <w:rFonts w:cstheme="minorHAnsi"/>
        </w:rPr>
        <w:t>s</w:t>
      </w:r>
      <w:r w:rsidRPr="00326D7D">
        <w:rPr>
          <w:rStyle w:val="markedcontent"/>
          <w:rFonts w:cstheme="minorHAnsi"/>
        </w:rPr>
        <w:t xml:space="preserve"> to</w:t>
      </w:r>
      <w:r>
        <w:rPr>
          <w:rStyle w:val="markedcontent"/>
          <w:rFonts w:cstheme="minorHAnsi"/>
        </w:rPr>
        <w:t>:</w:t>
      </w:r>
    </w:p>
    <w:p w14:paraId="2B90A9A0" w14:textId="070F91C1" w:rsidR="000401C9" w:rsidRPr="00BA0696" w:rsidRDefault="000401C9" w:rsidP="000401C9">
      <w:pPr>
        <w:pStyle w:val="Odstavecseseznamem"/>
        <w:numPr>
          <w:ilvl w:val="0"/>
          <w:numId w:val="23"/>
        </w:numPr>
        <w:spacing w:after="120" w:line="240" w:lineRule="auto"/>
        <w:jc w:val="both"/>
      </w:pPr>
      <w:r w:rsidRPr="006043D2">
        <w:rPr>
          <w:rFonts w:eastAsia="Cambria" w:cstheme="minorHAnsi"/>
          <w:b/>
          <w:bCs/>
          <w:color w:val="00A8CB"/>
          <w:lang w:eastAsia="en-GB"/>
        </w:rPr>
        <w:t xml:space="preserve">Maintain </w:t>
      </w:r>
      <w:r w:rsidRPr="00215016">
        <w:rPr>
          <w:rFonts w:eastAsia="Cambria" w:cstheme="minorHAnsi"/>
          <w:b/>
          <w:bCs/>
          <w:color w:val="00A8CB"/>
          <w:lang w:eastAsia="en-GB"/>
        </w:rPr>
        <w:t xml:space="preserve">the ETS cap reduction without further </w:t>
      </w:r>
      <w:r w:rsidRPr="006043D2">
        <w:rPr>
          <w:rFonts w:eastAsia="Cambria" w:cstheme="minorHAnsi"/>
          <w:b/>
          <w:bCs/>
          <w:color w:val="00A8CB"/>
          <w:lang w:eastAsia="en-GB"/>
        </w:rPr>
        <w:t>linear reduction increase</w:t>
      </w:r>
      <w:r w:rsidRPr="00215016">
        <w:rPr>
          <w:rFonts w:eastAsia="Cambria" w:cstheme="minorHAnsi"/>
          <w:b/>
          <w:bCs/>
          <w:color w:val="00A8CB"/>
          <w:lang w:eastAsia="en-GB"/>
        </w:rPr>
        <w:t xml:space="preserve"> and </w:t>
      </w:r>
      <w:r w:rsidRPr="006043D2">
        <w:rPr>
          <w:rFonts w:eastAsia="Cambria" w:cstheme="minorHAnsi"/>
          <w:b/>
          <w:bCs/>
          <w:color w:val="00A8CB"/>
          <w:lang w:eastAsia="en-GB"/>
        </w:rPr>
        <w:t xml:space="preserve">without </w:t>
      </w:r>
      <w:r w:rsidRPr="00FB3B04">
        <w:rPr>
          <w:rFonts w:eastAsia="Cambria" w:cstheme="minorHAnsi"/>
          <w:b/>
          <w:bCs/>
          <w:color w:val="00A8CB"/>
          <w:lang w:eastAsia="en-GB"/>
        </w:rPr>
        <w:t>rebasing</w:t>
      </w:r>
      <w:r w:rsidRPr="00215016">
        <w:rPr>
          <w:rFonts w:eastAsia="Cambria" w:cstheme="minorHAnsi"/>
          <w:b/>
          <w:bCs/>
          <w:color w:val="00A8CB"/>
          <w:lang w:eastAsia="en-GB"/>
        </w:rPr>
        <w:t xml:space="preserve"> </w:t>
      </w:r>
      <w:r>
        <w:t>not to further reduce the European industry profitability</w:t>
      </w:r>
      <w:r w:rsidRPr="00BA0696">
        <w:t>.</w:t>
      </w:r>
      <w:r>
        <w:t xml:space="preserve"> In our views, a one-off reduction in the EU ETS market will generate a swift price increase that would be both unnecessary to achieve the trajectory and difficult to cope with in parallel with the important increase in energy costs.</w:t>
      </w:r>
    </w:p>
    <w:p w14:paraId="67C8246E" w14:textId="3059D299" w:rsidR="000401C9" w:rsidRPr="00326D7D" w:rsidRDefault="000401C9" w:rsidP="000401C9">
      <w:pPr>
        <w:pStyle w:val="Odstavecseseznamem"/>
        <w:numPr>
          <w:ilvl w:val="0"/>
          <w:numId w:val="23"/>
        </w:numPr>
        <w:spacing w:after="120" w:line="240" w:lineRule="auto"/>
        <w:jc w:val="both"/>
      </w:pPr>
      <w:r w:rsidRPr="006043D2">
        <w:rPr>
          <w:rFonts w:eastAsia="Cambria" w:cstheme="minorHAnsi"/>
          <w:b/>
          <w:bCs/>
          <w:color w:val="00A8CB"/>
          <w:lang w:eastAsia="en-GB"/>
        </w:rPr>
        <w:t>Introduce measures to avoid the application of the cross-sectoral-correction factor (CSCF).</w:t>
      </w:r>
      <w:r w:rsidRPr="00326D7D">
        <w:t xml:space="preserve"> The 3% buffer between the auctioning and free allocations should be at minimum </w:t>
      </w:r>
      <w:r w:rsidRPr="00326D7D">
        <w:lastRenderedPageBreak/>
        <w:t>maintained and ideally increase to better reflect the abatement potential in the power sector. Similarly, the allowances in the Market Stability Reserve could be used to avoid the application of the CSCF.</w:t>
      </w:r>
    </w:p>
    <w:p w14:paraId="042A90D7" w14:textId="77777777" w:rsidR="000401C9" w:rsidRPr="00326D7D" w:rsidRDefault="000401C9" w:rsidP="000401C9">
      <w:pPr>
        <w:pStyle w:val="Odstavecseseznamem"/>
        <w:numPr>
          <w:ilvl w:val="0"/>
          <w:numId w:val="23"/>
        </w:numPr>
        <w:spacing w:after="120" w:line="240" w:lineRule="auto"/>
        <w:jc w:val="both"/>
      </w:pPr>
      <w:r w:rsidRPr="006043D2">
        <w:rPr>
          <w:rFonts w:eastAsia="Cambria" w:cstheme="minorHAnsi"/>
          <w:b/>
          <w:bCs/>
          <w:color w:val="00A8CB"/>
          <w:lang w:eastAsia="en-GB"/>
        </w:rPr>
        <w:t>Maintain the free allocations to an installation with no additional condition to the benchmark level.</w:t>
      </w:r>
      <w:r w:rsidRPr="00326D7D">
        <w:t xml:space="preserve"> The</w:t>
      </w:r>
      <w:r>
        <w:t xml:space="preserve"> free allocations</w:t>
      </w:r>
      <w:r w:rsidRPr="00326D7D">
        <w:t xml:space="preserve"> </w:t>
      </w:r>
      <w:r>
        <w:t xml:space="preserve">protect the European installations against the </w:t>
      </w:r>
      <w:r w:rsidRPr="00326D7D">
        <w:t>risk of carbon leakage and</w:t>
      </w:r>
      <w:r>
        <w:t xml:space="preserve"> free allocations set at the benchmark level already provide incentives to reduce CO</w:t>
      </w:r>
      <w:r w:rsidRPr="0018322F">
        <w:rPr>
          <w:vertAlign w:val="subscript"/>
        </w:rPr>
        <w:t>2</w:t>
      </w:r>
      <w:r>
        <w:t xml:space="preserve"> emissions by upgrading the installations with the best technologies in a cost-effective way. Additional conditions, such as implementing</w:t>
      </w:r>
      <w:r w:rsidRPr="00326D7D">
        <w:t xml:space="preserve"> recommendations</w:t>
      </w:r>
      <w:r>
        <w:t xml:space="preserve"> from</w:t>
      </w:r>
      <w:r w:rsidRPr="00326D7D">
        <w:t xml:space="preserve"> energy audits or decarbonisation plans</w:t>
      </w:r>
      <w:r>
        <w:t>, are unnecessary and could endanger the system</w:t>
      </w:r>
      <w:r w:rsidRPr="00326D7D">
        <w:t>.</w:t>
      </w:r>
    </w:p>
    <w:p w14:paraId="70034BC3" w14:textId="41550FC4" w:rsidR="000401C9" w:rsidRDefault="000401C9" w:rsidP="000401C9">
      <w:pPr>
        <w:pStyle w:val="Odstavecseseznamem"/>
        <w:numPr>
          <w:ilvl w:val="0"/>
          <w:numId w:val="23"/>
        </w:numPr>
        <w:spacing w:after="120" w:line="240" w:lineRule="auto"/>
        <w:jc w:val="both"/>
      </w:pPr>
      <w:r w:rsidRPr="006043D2">
        <w:rPr>
          <w:rFonts w:eastAsia="Cambria" w:cstheme="minorHAnsi"/>
          <w:b/>
          <w:bCs/>
          <w:color w:val="00A8CB"/>
          <w:lang w:eastAsia="en-GB"/>
        </w:rPr>
        <w:t>Update the sectors’ benchmarks according to the existing rules</w:t>
      </w:r>
      <w:r w:rsidRPr="00326D7D">
        <w:t xml:space="preserve"> </w:t>
      </w:r>
      <w:r>
        <w:t xml:space="preserve">and </w:t>
      </w:r>
      <w:r w:rsidRPr="00326D7D">
        <w:t>without further increased reduction</w:t>
      </w:r>
      <w:r>
        <w:t>s</w:t>
      </w:r>
      <w:r w:rsidRPr="00326D7D">
        <w:t xml:space="preserve">. </w:t>
      </w:r>
      <w:r>
        <w:t xml:space="preserve">Several factors limit the options to upgrade the glass industrial tools on the short term. These limits include the </w:t>
      </w:r>
      <w:r w:rsidRPr="00326D7D">
        <w:t>long-term investment cycles</w:t>
      </w:r>
      <w:r>
        <w:t xml:space="preserve"> and</w:t>
      </w:r>
      <w:r w:rsidRPr="00326D7D">
        <w:t xml:space="preserve"> continuous </w:t>
      </w:r>
      <w:r>
        <w:t xml:space="preserve">manufacturing </w:t>
      </w:r>
      <w:r w:rsidRPr="00326D7D">
        <w:t xml:space="preserve">process </w:t>
      </w:r>
      <w:r>
        <w:t>(</w:t>
      </w:r>
      <w:r w:rsidR="009D725E">
        <w:t>which</w:t>
      </w:r>
      <w:r>
        <w:t xml:space="preserve"> cannot be interrupted for over 10 years)</w:t>
      </w:r>
      <w:r w:rsidRPr="00326D7D">
        <w:t xml:space="preserve">, </w:t>
      </w:r>
      <w:r>
        <w:t xml:space="preserve">and the unavailability of </w:t>
      </w:r>
      <w:r w:rsidRPr="00326D7D">
        <w:t xml:space="preserve">certain energy sources in </w:t>
      </w:r>
      <w:r>
        <w:t xml:space="preserve">some </w:t>
      </w:r>
      <w:r w:rsidRPr="00326D7D">
        <w:t>Europe</w:t>
      </w:r>
      <w:r>
        <w:t>an regions.</w:t>
      </w:r>
      <w:r w:rsidRPr="00326D7D">
        <w:t xml:space="preserve"> </w:t>
      </w:r>
      <w:r>
        <w:t>It results that increasing the benchmarks’ reduction would only generate costs to some glass installations and reduce their financial capacity for upgrades at the time of investing.</w:t>
      </w:r>
    </w:p>
    <w:p w14:paraId="497E78DE" w14:textId="77777777" w:rsidR="000401C9" w:rsidRDefault="000401C9" w:rsidP="000401C9">
      <w:pPr>
        <w:pStyle w:val="Odstavecseseznamem"/>
        <w:numPr>
          <w:ilvl w:val="0"/>
          <w:numId w:val="23"/>
        </w:numPr>
        <w:spacing w:after="120" w:line="240" w:lineRule="auto"/>
        <w:jc w:val="both"/>
      </w:pPr>
      <w:r w:rsidRPr="006043D2">
        <w:rPr>
          <w:rFonts w:eastAsia="Cambria" w:cstheme="minorHAnsi"/>
          <w:b/>
          <w:bCs/>
          <w:color w:val="00A8CB"/>
          <w:lang w:eastAsia="en-GB"/>
        </w:rPr>
        <w:t>Exclude from the calculation of free allocations for the period 2026-2030 the COVID year 2020</w:t>
      </w:r>
      <w:r>
        <w:t xml:space="preserve"> to avoid penalising EU companies which had an unrepresentatively low production because of the pandemic.</w:t>
      </w:r>
    </w:p>
    <w:p w14:paraId="13EFAE66" w14:textId="2B6685F2" w:rsidR="000401C9" w:rsidRDefault="0068076E" w:rsidP="000401C9">
      <w:pPr>
        <w:pStyle w:val="Odstavecseseznamem"/>
        <w:numPr>
          <w:ilvl w:val="0"/>
          <w:numId w:val="23"/>
        </w:numPr>
        <w:spacing w:after="120" w:line="240" w:lineRule="auto"/>
        <w:jc w:val="both"/>
      </w:pPr>
      <w:r w:rsidRPr="006043D2">
        <w:rPr>
          <w:rFonts w:eastAsia="Cambria" w:cstheme="minorHAnsi"/>
          <w:b/>
          <w:bCs/>
          <w:color w:val="00A8CB"/>
          <w:lang w:eastAsia="en-GB"/>
        </w:rPr>
        <w:t>I</w:t>
      </w:r>
      <w:r w:rsidR="000401C9" w:rsidRPr="006043D2">
        <w:rPr>
          <w:rFonts w:eastAsia="Cambria" w:cstheme="minorHAnsi"/>
          <w:b/>
          <w:bCs/>
          <w:color w:val="00A8CB"/>
          <w:lang w:eastAsia="en-GB"/>
        </w:rPr>
        <w:t>nclude a solution for exports for sectors covered by the Carbon Border Adjustment</w:t>
      </w:r>
      <w:r w:rsidR="000401C9" w:rsidRPr="00326D7D">
        <w:t xml:space="preserve"> Mechanism </w:t>
      </w:r>
      <w:r w:rsidR="000401C9" w:rsidRPr="006043D2">
        <w:rPr>
          <w:rFonts w:eastAsia="Cambria" w:cstheme="minorHAnsi"/>
          <w:b/>
          <w:bCs/>
          <w:color w:val="00A8CB"/>
          <w:lang w:eastAsia="en-GB"/>
        </w:rPr>
        <w:t xml:space="preserve">(CBAM) </w:t>
      </w:r>
      <w:r w:rsidR="000401C9">
        <w:t>and maintain a CBAM sector free allocations as long as the efficiency of the CBAM has not been demonstrated for that specific sector.</w:t>
      </w:r>
    </w:p>
    <w:p w14:paraId="0D4D9A9D" w14:textId="77777777" w:rsidR="0068076E" w:rsidRPr="00FC6477" w:rsidRDefault="0068076E" w:rsidP="0068076E">
      <w:pPr>
        <w:pStyle w:val="Odstavecseseznamem"/>
        <w:spacing w:after="240" w:line="240" w:lineRule="auto"/>
        <w:jc w:val="both"/>
      </w:pPr>
    </w:p>
    <w:p w14:paraId="2EEC55AE" w14:textId="17E31DF0" w:rsidR="00E87AD2" w:rsidRPr="00995C16" w:rsidRDefault="000401C9" w:rsidP="0068076E">
      <w:pPr>
        <w:pStyle w:val="Odstavecseseznamem"/>
        <w:numPr>
          <w:ilvl w:val="0"/>
          <w:numId w:val="17"/>
        </w:numPr>
        <w:spacing w:before="240" w:after="120"/>
        <w:ind w:left="714" w:hanging="357"/>
        <w:jc w:val="center"/>
        <w:rPr>
          <w:b/>
          <w:sz w:val="28"/>
          <w:szCs w:val="28"/>
          <w:lang w:val="en-US"/>
        </w:rPr>
      </w:pPr>
      <w:r>
        <w:rPr>
          <w:b/>
          <w:sz w:val="28"/>
          <w:szCs w:val="28"/>
          <w:lang w:val="en-US"/>
        </w:rPr>
        <w:t>Promote innovation</w:t>
      </w:r>
    </w:p>
    <w:p w14:paraId="086ED958" w14:textId="77777777" w:rsidR="00AC5C0C" w:rsidRPr="00326D7D" w:rsidRDefault="00AC5C0C" w:rsidP="00AC5C0C">
      <w:r w:rsidRPr="00326D7D">
        <w:t>The glass industry has considerably decreased its emissions per output in the last 50 years (i.e. a reduction of 69% of CO</w:t>
      </w:r>
      <w:r w:rsidRPr="00326D7D">
        <w:rPr>
          <w:vertAlign w:val="subscript"/>
        </w:rPr>
        <w:t>2</w:t>
      </w:r>
      <w:r w:rsidRPr="00326D7D">
        <w:t xml:space="preserve"> per tonne of melted glass). However, additional</w:t>
      </w:r>
      <w:r>
        <w:t xml:space="preserve"> r</w:t>
      </w:r>
      <w:r w:rsidRPr="00326D7D">
        <w:t>eductions since 1990 are realised at a slower pace as marginal gains become more difficult. The glass sector is a hard to abate sector and innovation will be key for its transition.</w:t>
      </w:r>
    </w:p>
    <w:p w14:paraId="1F94C45C" w14:textId="77777777" w:rsidR="00AC5C0C" w:rsidRPr="00326D7D" w:rsidRDefault="00AC5C0C" w:rsidP="00AC5C0C">
      <w:r w:rsidRPr="00326D7D">
        <w:t>The industry has identified several theoretical potentials for emissions’ savings as presented in a position paper recently updated</w:t>
      </w:r>
      <w:r w:rsidRPr="00326D7D">
        <w:rPr>
          <w:rStyle w:val="Znakapoznpodarou"/>
        </w:rPr>
        <w:footnoteReference w:id="2"/>
      </w:r>
      <w:r w:rsidRPr="00326D7D">
        <w:t xml:space="preserve">. </w:t>
      </w:r>
      <w:r>
        <w:t>Turning</w:t>
      </w:r>
      <w:r w:rsidRPr="00326D7D">
        <w:t xml:space="preserve"> these potentials into effective industrial options, some of them cross-sectoral, will require </w:t>
      </w:r>
      <w:r>
        <w:t>working</w:t>
      </w:r>
      <w:r w:rsidRPr="00326D7D">
        <w:t xml:space="preserve"> on </w:t>
      </w:r>
      <w:r>
        <w:t xml:space="preserve">their </w:t>
      </w:r>
      <w:r w:rsidRPr="00326D7D">
        <w:t>funding</w:t>
      </w:r>
      <w:r>
        <w:t xml:space="preserve">, </w:t>
      </w:r>
      <w:r w:rsidRPr="00326D7D">
        <w:t>adapt</w:t>
      </w:r>
      <w:r>
        <w:t>ing the</w:t>
      </w:r>
      <w:r w:rsidRPr="00326D7D">
        <w:t xml:space="preserve"> legislative framework</w:t>
      </w:r>
      <w:r>
        <w:t xml:space="preserve">, and </w:t>
      </w:r>
      <w:r w:rsidRPr="00326D7D">
        <w:t>preserving the investment capacity of the economic actors.</w:t>
      </w:r>
    </w:p>
    <w:p w14:paraId="293DCA86" w14:textId="77777777" w:rsidR="00AC5C0C" w:rsidRPr="00326D7D" w:rsidRDefault="00AC5C0C" w:rsidP="00AC5C0C">
      <w:pPr>
        <w:pStyle w:val="Odstavecseseznamem"/>
        <w:numPr>
          <w:ilvl w:val="0"/>
          <w:numId w:val="24"/>
        </w:numPr>
        <w:spacing w:after="120" w:line="240" w:lineRule="auto"/>
        <w:jc w:val="both"/>
      </w:pPr>
      <w:r w:rsidRPr="00326D7D">
        <w:t xml:space="preserve">The rules for </w:t>
      </w:r>
      <w:r w:rsidRPr="006043D2">
        <w:rPr>
          <w:rFonts w:eastAsia="Cambria" w:cstheme="minorHAnsi"/>
          <w:b/>
          <w:bCs/>
          <w:color w:val="00A8CB"/>
          <w:lang w:eastAsia="en-GB"/>
        </w:rPr>
        <w:t>compensating against the indirect costs</w:t>
      </w:r>
      <w:r w:rsidRPr="00326D7D">
        <w:t xml:space="preserve"> shall be revised to allow the compensation of </w:t>
      </w:r>
      <w:r w:rsidRPr="006043D2">
        <w:rPr>
          <w:rFonts w:eastAsia="Cambria" w:cstheme="minorHAnsi"/>
          <w:b/>
          <w:bCs/>
          <w:color w:val="00A8CB"/>
          <w:lang w:eastAsia="en-GB"/>
        </w:rPr>
        <w:t>the glass industries</w:t>
      </w:r>
      <w:r w:rsidRPr="00326D7D">
        <w:t xml:space="preserve">. The switch to carbon neutral electricity source is one of the most important identified by the industry for its future manufacturing and including the sector in the list of sectors to be compensated would facilitate that route. </w:t>
      </w:r>
    </w:p>
    <w:p w14:paraId="428F4CFF" w14:textId="77777777" w:rsidR="00AC5C0C" w:rsidRPr="00326D7D" w:rsidRDefault="00AC5C0C" w:rsidP="00AC5C0C">
      <w:pPr>
        <w:pStyle w:val="Odstavecseseznamem"/>
        <w:numPr>
          <w:ilvl w:val="0"/>
          <w:numId w:val="24"/>
        </w:numPr>
        <w:spacing w:after="120" w:line="240" w:lineRule="auto"/>
        <w:jc w:val="both"/>
      </w:pPr>
      <w:r>
        <w:t>Sufficient</w:t>
      </w:r>
      <w:r w:rsidRPr="00326D7D">
        <w:t xml:space="preserve"> </w:t>
      </w:r>
      <w:r w:rsidRPr="006043D2">
        <w:rPr>
          <w:rFonts w:eastAsia="Cambria" w:cstheme="minorHAnsi"/>
          <w:b/>
          <w:bCs/>
          <w:color w:val="00A8CB"/>
          <w:lang w:eastAsia="en-GB"/>
        </w:rPr>
        <w:t>allowances should be allocated to the ETS innovation fund to</w:t>
      </w:r>
      <w:r w:rsidRPr="00326D7D">
        <w:t xml:space="preserve"> support the industrial projects </w:t>
      </w:r>
      <w:r>
        <w:t>without reducing the</w:t>
      </w:r>
      <w:r w:rsidRPr="00326D7D">
        <w:t xml:space="preserve"> </w:t>
      </w:r>
      <w:r>
        <w:t>industry’s</w:t>
      </w:r>
      <w:r w:rsidRPr="00326D7D">
        <w:t xml:space="preserve"> financial capacity. Therefore, allowances for the ETS innovation fund should be </w:t>
      </w:r>
      <w:r w:rsidRPr="006043D2">
        <w:rPr>
          <w:rFonts w:eastAsia="Cambria" w:cstheme="minorHAnsi"/>
          <w:b/>
          <w:bCs/>
          <w:color w:val="00A8CB"/>
          <w:lang w:eastAsia="en-GB"/>
        </w:rPr>
        <w:t>sourced in the auctioning</w:t>
      </w:r>
      <w:r w:rsidRPr="00326D7D">
        <w:t xml:space="preserve"> rather than in the free allocation share, </w:t>
      </w:r>
      <w:r w:rsidRPr="00393864">
        <w:rPr>
          <w:rFonts w:eastAsia="Cambria" w:cstheme="minorHAnsi"/>
          <w:b/>
          <w:bCs/>
          <w:color w:val="00A8CB"/>
          <w:lang w:eastAsia="en-GB"/>
        </w:rPr>
        <w:t>as well as in the Market Stability Reserve</w:t>
      </w:r>
      <w:r w:rsidRPr="00326D7D">
        <w:t>.</w:t>
      </w:r>
    </w:p>
    <w:p w14:paraId="0E89B612" w14:textId="4183E1D0" w:rsidR="00AC5C0C" w:rsidRDefault="00AC5C0C" w:rsidP="00AC5C0C">
      <w:pPr>
        <w:pStyle w:val="Odstavecseseznamem"/>
        <w:numPr>
          <w:ilvl w:val="0"/>
          <w:numId w:val="24"/>
        </w:numPr>
        <w:spacing w:after="120" w:line="240" w:lineRule="auto"/>
        <w:jc w:val="both"/>
      </w:pPr>
      <w:r w:rsidRPr="006043D2">
        <w:rPr>
          <w:rFonts w:eastAsia="Cambria" w:cstheme="minorHAnsi"/>
          <w:b/>
          <w:bCs/>
          <w:color w:val="00A8CB"/>
          <w:lang w:eastAsia="en-GB"/>
        </w:rPr>
        <w:t>Carbon capture and storage (CCU/S)</w:t>
      </w:r>
      <w:r>
        <w:t xml:space="preserve"> is one option currently considered </w:t>
      </w:r>
      <w:r w:rsidR="00D913CA">
        <w:t>removing</w:t>
      </w:r>
      <w:r>
        <w:t xml:space="preserve"> the emissions from the decomposition of carbonates in the batch (i.e. process emissions) which are not reduced by a switch to carbon neutral energy. Under the current directive, the rules </w:t>
      </w:r>
      <w:r>
        <w:lastRenderedPageBreak/>
        <w:t xml:space="preserve">applying to the CCU/S are unclear and the development and uptake of these technologies would benefit from a </w:t>
      </w:r>
      <w:r w:rsidR="0068076E">
        <w:t>revised</w:t>
      </w:r>
      <w:r>
        <w:t xml:space="preserve"> framework</w:t>
      </w:r>
      <w:r w:rsidRPr="00326D7D">
        <w:t>.</w:t>
      </w:r>
    </w:p>
    <w:p w14:paraId="7AD5EBA3" w14:textId="77777777" w:rsidR="0068076E" w:rsidRPr="00326D7D" w:rsidRDefault="0068076E" w:rsidP="0068076E">
      <w:pPr>
        <w:pStyle w:val="Odstavecseseznamem"/>
        <w:spacing w:after="120" w:line="240" w:lineRule="auto"/>
        <w:jc w:val="both"/>
      </w:pPr>
    </w:p>
    <w:p w14:paraId="3F2C3C09" w14:textId="5FBE37B7" w:rsidR="00092A22" w:rsidRPr="00995C16" w:rsidRDefault="00AC5C0C" w:rsidP="008F3B02">
      <w:pPr>
        <w:pStyle w:val="Odstavecseseznamem"/>
        <w:numPr>
          <w:ilvl w:val="0"/>
          <w:numId w:val="17"/>
        </w:numPr>
        <w:spacing w:after="120"/>
        <w:jc w:val="center"/>
        <w:rPr>
          <w:b/>
          <w:sz w:val="28"/>
          <w:szCs w:val="28"/>
          <w:lang w:val="en-US"/>
        </w:rPr>
      </w:pPr>
      <w:r>
        <w:rPr>
          <w:b/>
          <w:sz w:val="28"/>
          <w:szCs w:val="28"/>
          <w:lang w:val="en-US"/>
        </w:rPr>
        <w:t>Preserve the stability and integrity of the EU ETS</w:t>
      </w:r>
    </w:p>
    <w:p w14:paraId="139E7824" w14:textId="77777777" w:rsidR="0068076E" w:rsidRPr="000C75D1" w:rsidRDefault="0068076E" w:rsidP="0068076E">
      <w:r w:rsidRPr="0082491E">
        <w:t xml:space="preserve">The </w:t>
      </w:r>
      <w:r>
        <w:t>EU ETS is a market-based mechanism addressing the reduction of CO2 emissions in the industry, which works independently of other non-market EU regulations. Creating bridges between this market-based mechanism and the non-market regulations (such as the IED) could prove being counterproductive. These legislations are different and abide by different dynamics and rules. Therefore, the glass industry is of the opinion that to preserve the stability and integrity of the EU ETS, the emission trading scheme should remain separated from other existing or new legislative instruments:</w:t>
      </w:r>
    </w:p>
    <w:p w14:paraId="4173AA09" w14:textId="77777777" w:rsidR="0068076E" w:rsidRPr="00393E03" w:rsidRDefault="0068076E" w:rsidP="0068076E">
      <w:pPr>
        <w:pStyle w:val="Odstavecseseznamem"/>
        <w:numPr>
          <w:ilvl w:val="0"/>
          <w:numId w:val="25"/>
        </w:numPr>
        <w:spacing w:after="120" w:line="240" w:lineRule="auto"/>
        <w:jc w:val="both"/>
      </w:pPr>
      <w:r w:rsidRPr="00393E03">
        <w:t xml:space="preserve">To keep the EU ETS separated from the </w:t>
      </w:r>
      <w:r w:rsidRPr="006043D2">
        <w:rPr>
          <w:rFonts w:eastAsia="Cambria" w:cstheme="minorHAnsi"/>
          <w:b/>
          <w:bCs/>
          <w:color w:val="00A8CB"/>
          <w:lang w:eastAsia="en-GB"/>
        </w:rPr>
        <w:t xml:space="preserve">Industrial Emission Directive (IED). </w:t>
      </w:r>
      <w:r w:rsidRPr="00393E03">
        <w:t>Both legislations are intrinsically incompatible. While the EU ETS is a market-based instrument incentivising investments in a cost-efficient manner, the IED is a “command and control” instrument based on Emission Limit Values.</w:t>
      </w:r>
      <w:r>
        <w:t xml:space="preserve"> Therefore, introducing GHG limit values in the IED would simply go against the EU ETS raison d’être.</w:t>
      </w:r>
    </w:p>
    <w:p w14:paraId="0D4EF483" w14:textId="21FB84A0" w:rsidR="0068076E" w:rsidRDefault="0068076E" w:rsidP="0068076E">
      <w:pPr>
        <w:pStyle w:val="Odstavecseseznamem"/>
        <w:numPr>
          <w:ilvl w:val="0"/>
          <w:numId w:val="25"/>
        </w:numPr>
        <w:spacing w:after="120" w:line="240" w:lineRule="auto"/>
        <w:jc w:val="both"/>
      </w:pPr>
      <w:r>
        <w:t xml:space="preserve">To keep entirely separated the </w:t>
      </w:r>
      <w:r w:rsidRPr="006043D2">
        <w:rPr>
          <w:rFonts w:eastAsia="Cambria" w:cstheme="minorHAnsi"/>
          <w:b/>
          <w:bCs/>
          <w:color w:val="00A8CB"/>
          <w:lang w:eastAsia="en-GB"/>
        </w:rPr>
        <w:t>ETS for buildings and transport</w:t>
      </w:r>
      <w:r w:rsidRPr="000D65E8">
        <w:rPr>
          <w:b/>
          <w:bCs/>
        </w:rPr>
        <w:t xml:space="preserve"> </w:t>
      </w:r>
      <w:r>
        <w:t xml:space="preserve">from the EU ETS. </w:t>
      </w:r>
      <w:r w:rsidRPr="00326D7D">
        <w:t>The</w:t>
      </w:r>
      <w:r>
        <w:t xml:space="preserve"> energy</w:t>
      </w:r>
      <w:r w:rsidRPr="00326D7D">
        <w:t xml:space="preserve"> </w:t>
      </w:r>
      <w:r>
        <w:t xml:space="preserve">intensive </w:t>
      </w:r>
      <w:r w:rsidRPr="00326D7D">
        <w:t xml:space="preserve">industry, transport and buildings </w:t>
      </w:r>
      <w:r>
        <w:t>sectors are completely different economic sectors with their own CO</w:t>
      </w:r>
      <w:r w:rsidRPr="005746F6">
        <w:rPr>
          <w:vertAlign w:val="subscript"/>
        </w:rPr>
        <w:t>2</w:t>
      </w:r>
      <w:r>
        <w:t xml:space="preserve"> abatement potentials and costs. Therefore, should the buildings and transport have their own market-based mechanism, it should always work independently from the existing EU ETS.</w:t>
      </w:r>
    </w:p>
    <w:p w14:paraId="17F9C821" w14:textId="77777777" w:rsidR="00276AF7" w:rsidRDefault="00276AF7" w:rsidP="00D10D7E">
      <w:pPr>
        <w:pStyle w:val="Default"/>
        <w:pBdr>
          <w:top w:val="single" w:sz="4" w:space="2" w:color="00A8CB"/>
          <w:left w:val="single" w:sz="4" w:space="4" w:color="00A8CB"/>
          <w:bottom w:val="single" w:sz="4" w:space="2" w:color="00A8CB"/>
          <w:right w:val="single" w:sz="4" w:space="4" w:color="00A8CB"/>
        </w:pBdr>
        <w:spacing w:before="480" w:after="120"/>
        <w:jc w:val="both"/>
        <w:rPr>
          <w:b/>
          <w:bCs/>
          <w:color w:val="00A8CB"/>
          <w:sz w:val="20"/>
          <w:szCs w:val="20"/>
        </w:rPr>
      </w:pPr>
      <w:r w:rsidRPr="00C562FD">
        <w:rPr>
          <w:b/>
          <w:bCs/>
          <w:color w:val="00A8CB"/>
          <w:sz w:val="20"/>
          <w:szCs w:val="20"/>
        </w:rPr>
        <w:t xml:space="preserve">About Glass Alliance Europe </w:t>
      </w:r>
      <w:r>
        <w:rPr>
          <w:b/>
          <w:bCs/>
          <w:color w:val="00A8CB"/>
          <w:sz w:val="20"/>
          <w:szCs w:val="20"/>
        </w:rPr>
        <w:t>- EU Transparency Register N° 74505036439-88</w:t>
      </w:r>
    </w:p>
    <w:p w14:paraId="647F50C2" w14:textId="77777777" w:rsidR="00276AF7" w:rsidRDefault="00276AF7">
      <w:pPr>
        <w:pStyle w:val="Default"/>
        <w:pBdr>
          <w:top w:val="single" w:sz="4" w:space="2" w:color="00A8CB"/>
          <w:left w:val="single" w:sz="4" w:space="4" w:color="00A8CB"/>
          <w:bottom w:val="single" w:sz="4" w:space="2" w:color="00A8CB"/>
          <w:right w:val="single" w:sz="4" w:space="4" w:color="00A8CB"/>
        </w:pBdr>
        <w:spacing w:after="120"/>
        <w:jc w:val="both"/>
        <w:rPr>
          <w:b/>
          <w:bCs/>
          <w:color w:val="00A8CB"/>
          <w:sz w:val="20"/>
          <w:szCs w:val="20"/>
        </w:rPr>
      </w:pPr>
      <w:r>
        <w:rPr>
          <w:sz w:val="20"/>
          <w:szCs w:val="20"/>
        </w:rPr>
        <w:t>Europe is the world leader in glass making. The glass industry comprises more than 500 plants providing 500,000 direct and indirect jobs. Glass is a unique and inert material made from abundant natural resources and fully recyclable. It is a key contributor to the EU objectives of a low-carbon, energy efficient and circular economy, and a key enabling material for essential supply chains, such as the pharmaceutical and health sector, the food and drink industry, buildings and construction, automotive, luxury goods and perfumes, electronics, etc.</w:t>
      </w:r>
    </w:p>
    <w:p w14:paraId="034A1A37" w14:textId="77777777" w:rsidR="00276AF7" w:rsidRPr="00C562FD" w:rsidRDefault="00276AF7" w:rsidP="00D10D7E">
      <w:pPr>
        <w:pStyle w:val="Default"/>
        <w:pBdr>
          <w:top w:val="single" w:sz="4" w:space="2" w:color="00A8CB"/>
          <w:left w:val="single" w:sz="4" w:space="4" w:color="00A8CB"/>
          <w:bottom w:val="single" w:sz="4" w:space="2" w:color="00A8CB"/>
          <w:right w:val="single" w:sz="4" w:space="4" w:color="00A8CB"/>
        </w:pBdr>
        <w:spacing w:after="100" w:afterAutospacing="1"/>
        <w:jc w:val="both"/>
        <w:rPr>
          <w:color w:val="00A8CB"/>
          <w:sz w:val="20"/>
          <w:szCs w:val="20"/>
        </w:rPr>
      </w:pPr>
      <w:r>
        <w:rPr>
          <w:sz w:val="20"/>
          <w:szCs w:val="20"/>
        </w:rPr>
        <w:t xml:space="preserve">For more information </w:t>
      </w:r>
      <w:hyperlink r:id="rId12" w:history="1">
        <w:r w:rsidRPr="00361C01">
          <w:rPr>
            <w:rStyle w:val="Hypertextovodkaz"/>
            <w:rFonts w:asciiTheme="minorHAnsi" w:hAnsiTheme="minorHAnsi" w:cs="Arial"/>
            <w:sz w:val="20"/>
            <w:szCs w:val="20"/>
          </w:rPr>
          <w:t>http://www.glassallianceeurope.eu/</w:t>
        </w:r>
      </w:hyperlink>
      <w:r w:rsidRPr="00361C01">
        <w:rPr>
          <w:rFonts w:asciiTheme="minorHAnsi" w:hAnsiTheme="minorHAnsi" w:cs="Arial"/>
          <w:sz w:val="20"/>
          <w:szCs w:val="20"/>
        </w:rPr>
        <w:t xml:space="preserve"> </w:t>
      </w:r>
    </w:p>
    <w:p w14:paraId="4CDC6D7F" w14:textId="77777777" w:rsidR="00276AF7" w:rsidRPr="005B4220" w:rsidRDefault="00276AF7" w:rsidP="00276AF7">
      <w:pPr>
        <w:jc w:val="center"/>
        <w:rPr>
          <w:rFonts w:ascii="Calibri" w:hAnsi="Calibri" w:cs="Calibri"/>
          <w:b/>
          <w:color w:val="00A8CB"/>
          <w:sz w:val="32"/>
          <w:szCs w:val="32"/>
          <w:lang w:val="en-US"/>
        </w:rPr>
      </w:pPr>
      <w:r w:rsidRPr="005B4220">
        <w:rPr>
          <w:rFonts w:ascii="Calibri" w:hAnsi="Calibri" w:cs="Calibri"/>
          <w:b/>
          <w:color w:val="00A8CB"/>
          <w:sz w:val="32"/>
          <w:szCs w:val="32"/>
          <w:lang w:val="en-US"/>
        </w:rPr>
        <w:t>~~~</w:t>
      </w:r>
    </w:p>
    <w:sectPr w:rsidR="00276AF7" w:rsidRPr="005B4220" w:rsidSect="00B02FD5">
      <w:headerReference w:type="default" r:id="rId13"/>
      <w:footerReference w:type="default" r:id="rId14"/>
      <w:headerReference w:type="first" r:id="rId15"/>
      <w:pgSz w:w="11906" w:h="16838"/>
      <w:pgMar w:top="392"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ABD91" w14:textId="77777777" w:rsidR="00706B42" w:rsidRDefault="00706B42" w:rsidP="003012C2">
      <w:pPr>
        <w:spacing w:after="0" w:line="240" w:lineRule="auto"/>
      </w:pPr>
      <w:r>
        <w:separator/>
      </w:r>
    </w:p>
  </w:endnote>
  <w:endnote w:type="continuationSeparator" w:id="0">
    <w:p w14:paraId="0DB1A397" w14:textId="77777777" w:rsidR="00706B42" w:rsidRDefault="00706B42" w:rsidP="003012C2">
      <w:pPr>
        <w:spacing w:after="0" w:line="240" w:lineRule="auto"/>
      </w:pPr>
      <w:r>
        <w:continuationSeparator/>
      </w:r>
    </w:p>
  </w:endnote>
  <w:endnote w:type="continuationNotice" w:id="1">
    <w:p w14:paraId="3967BFD8" w14:textId="77777777" w:rsidR="00706B42" w:rsidRDefault="00706B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760512"/>
      <w:docPartObj>
        <w:docPartGallery w:val="Page Numbers (Bottom of Page)"/>
        <w:docPartUnique/>
      </w:docPartObj>
    </w:sdtPr>
    <w:sdtEndPr>
      <w:rPr>
        <w:noProof/>
      </w:rPr>
    </w:sdtEndPr>
    <w:sdtContent>
      <w:p w14:paraId="379EAF23" w14:textId="03152383" w:rsidR="006D7861" w:rsidRDefault="006D7861">
        <w:pPr>
          <w:pStyle w:val="Zpat"/>
          <w:jc w:val="right"/>
        </w:pPr>
        <w:r>
          <w:fldChar w:fldCharType="begin"/>
        </w:r>
        <w:r>
          <w:instrText xml:space="preserve"> PAGE   \* MERGEFORMAT </w:instrText>
        </w:r>
        <w:r>
          <w:fldChar w:fldCharType="separate"/>
        </w:r>
        <w:r w:rsidR="00EB0849">
          <w:rPr>
            <w:noProof/>
          </w:rPr>
          <w:t>2</w:t>
        </w:r>
        <w:r>
          <w:rPr>
            <w:noProof/>
          </w:rPr>
          <w:fldChar w:fldCharType="end"/>
        </w:r>
      </w:p>
    </w:sdtContent>
  </w:sdt>
  <w:p w14:paraId="6CC9F1F0" w14:textId="77777777" w:rsidR="006D7861" w:rsidRDefault="006D78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E7545" w14:textId="77777777" w:rsidR="00706B42" w:rsidRDefault="00706B42" w:rsidP="003012C2">
      <w:pPr>
        <w:spacing w:after="0" w:line="240" w:lineRule="auto"/>
      </w:pPr>
      <w:r>
        <w:separator/>
      </w:r>
    </w:p>
  </w:footnote>
  <w:footnote w:type="continuationSeparator" w:id="0">
    <w:p w14:paraId="4750B763" w14:textId="77777777" w:rsidR="00706B42" w:rsidRDefault="00706B42" w:rsidP="003012C2">
      <w:pPr>
        <w:spacing w:after="0" w:line="240" w:lineRule="auto"/>
      </w:pPr>
      <w:r>
        <w:continuationSeparator/>
      </w:r>
    </w:p>
  </w:footnote>
  <w:footnote w:type="continuationNotice" w:id="1">
    <w:p w14:paraId="2E757518" w14:textId="77777777" w:rsidR="00706B42" w:rsidRDefault="00706B42">
      <w:pPr>
        <w:spacing w:after="0" w:line="240" w:lineRule="auto"/>
      </w:pPr>
    </w:p>
  </w:footnote>
  <w:footnote w:id="2">
    <w:p w14:paraId="541A8570" w14:textId="77777777" w:rsidR="00AC5C0C" w:rsidRPr="00CC42FD" w:rsidRDefault="00AC5C0C" w:rsidP="00AC5C0C">
      <w:pPr>
        <w:pStyle w:val="Textpoznpodarou"/>
      </w:pPr>
      <w:r>
        <w:rPr>
          <w:rStyle w:val="Znakapoznpodarou"/>
        </w:rPr>
        <w:footnoteRef/>
      </w:r>
      <w:r>
        <w:t xml:space="preserve"> </w:t>
      </w:r>
      <w:r w:rsidRPr="00CC42FD">
        <w:t>Glass Alliance Europe, The European glass sector contribution to a climate neutral economy, May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772BE" w14:textId="0E0B91A0" w:rsidR="006D7861" w:rsidRDefault="1181A1EA" w:rsidP="00B02FD5">
    <w:pPr>
      <w:pStyle w:val="Zhlav"/>
      <w:ind w:left="-993"/>
    </w:pPr>
    <w:r>
      <w:rPr>
        <w:noProof/>
        <w:lang w:val="cs-CZ" w:eastAsia="ja-JP"/>
      </w:rPr>
      <w:drawing>
        <wp:inline distT="0" distB="0" distL="0" distR="0" wp14:anchorId="4FD6C961" wp14:editId="6F73B92A">
          <wp:extent cx="4061460" cy="982980"/>
          <wp:effectExtent l="0" t="0" r="0" b="7620"/>
          <wp:docPr id="2" name="Imag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pic:nvPicPr>
                <pic:blipFill>
                  <a:blip r:embed="rId1">
                    <a:extLst>
                      <a:ext uri="{28A0092B-C50C-407E-A947-70E740481C1C}">
                        <a14:useLocalDpi xmlns:a14="http://schemas.microsoft.com/office/drawing/2010/main" val="0"/>
                      </a:ext>
                    </a:extLst>
                  </a:blip>
                  <a:stretch>
                    <a:fillRect/>
                  </a:stretch>
                </pic:blipFill>
                <pic:spPr>
                  <a:xfrm>
                    <a:off x="0" y="0"/>
                    <a:ext cx="4061460" cy="982980"/>
                  </a:xfrm>
                  <a:prstGeom prst="rect">
                    <a:avLst/>
                  </a:prstGeom>
                </pic:spPr>
              </pic:pic>
            </a:graphicData>
          </a:graphic>
        </wp:inline>
      </w:drawing>
    </w:r>
  </w:p>
  <w:p w14:paraId="6CDE5F65" w14:textId="77777777" w:rsidR="006D7861" w:rsidRDefault="006D7861" w:rsidP="00B02FD5">
    <w:pPr>
      <w:pStyle w:val="Zhlav"/>
      <w:ind w:left="-99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BDE96" w14:textId="151EC9BC" w:rsidR="006D7861" w:rsidRDefault="1181A1EA" w:rsidP="00B02FD5">
    <w:pPr>
      <w:pStyle w:val="Zhlav"/>
      <w:ind w:left="-851"/>
    </w:pPr>
    <w:r>
      <w:rPr>
        <w:noProof/>
        <w:lang w:val="cs-CZ" w:eastAsia="ja-JP"/>
      </w:rPr>
      <w:drawing>
        <wp:inline distT="0" distB="0" distL="0" distR="0" wp14:anchorId="592DE5F8" wp14:editId="7C78F22D">
          <wp:extent cx="5731510" cy="1383729"/>
          <wp:effectExtent l="0" t="0" r="2540" b="6985"/>
          <wp:docPr id="1" name="Imag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pic:nvPicPr>
                <pic:blipFill>
                  <a:blip r:embed="rId1">
                    <a:extLst>
                      <a:ext uri="{28A0092B-C50C-407E-A947-70E740481C1C}">
                        <a14:useLocalDpi xmlns:a14="http://schemas.microsoft.com/office/drawing/2010/main" val="0"/>
                      </a:ext>
                    </a:extLst>
                  </a:blip>
                  <a:stretch>
                    <a:fillRect/>
                  </a:stretch>
                </pic:blipFill>
                <pic:spPr>
                  <a:xfrm>
                    <a:off x="0" y="0"/>
                    <a:ext cx="5731510" cy="13837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A792EC"/>
    <w:multiLevelType w:val="hybridMultilevel"/>
    <w:tmpl w:val="553C24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8DA679E8"/>
    <w:lvl w:ilvl="0">
      <w:start w:val="1"/>
      <w:numFmt w:val="decimal"/>
      <w:lvlText w:val="%1."/>
      <w:legacy w:legacy="1" w:legacySpace="0"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2">
    <w:nsid w:val="0103787B"/>
    <w:multiLevelType w:val="hybridMultilevel"/>
    <w:tmpl w:val="C65EC1F8"/>
    <w:lvl w:ilvl="0" w:tplc="6668226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7C105F"/>
    <w:multiLevelType w:val="hybridMultilevel"/>
    <w:tmpl w:val="910AC25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nsid w:val="0FE32877"/>
    <w:multiLevelType w:val="hybridMultilevel"/>
    <w:tmpl w:val="308CB86A"/>
    <w:lvl w:ilvl="0" w:tplc="080C0001">
      <w:start w:val="1"/>
      <w:numFmt w:val="bullet"/>
      <w:lvlText w:val=""/>
      <w:lvlJc w:val="left"/>
      <w:pPr>
        <w:ind w:left="824" w:hanging="360"/>
      </w:pPr>
      <w:rPr>
        <w:rFonts w:ascii="Symbol" w:hAnsi="Symbol" w:hint="default"/>
      </w:rPr>
    </w:lvl>
    <w:lvl w:ilvl="1" w:tplc="080C0003" w:tentative="1">
      <w:start w:val="1"/>
      <w:numFmt w:val="bullet"/>
      <w:lvlText w:val="o"/>
      <w:lvlJc w:val="left"/>
      <w:pPr>
        <w:ind w:left="1544" w:hanging="360"/>
      </w:pPr>
      <w:rPr>
        <w:rFonts w:ascii="Courier New" w:hAnsi="Courier New" w:cs="Courier New" w:hint="default"/>
      </w:rPr>
    </w:lvl>
    <w:lvl w:ilvl="2" w:tplc="080C0005" w:tentative="1">
      <w:start w:val="1"/>
      <w:numFmt w:val="bullet"/>
      <w:lvlText w:val=""/>
      <w:lvlJc w:val="left"/>
      <w:pPr>
        <w:ind w:left="2264" w:hanging="360"/>
      </w:pPr>
      <w:rPr>
        <w:rFonts w:ascii="Wingdings" w:hAnsi="Wingdings" w:hint="default"/>
      </w:rPr>
    </w:lvl>
    <w:lvl w:ilvl="3" w:tplc="080C0001" w:tentative="1">
      <w:start w:val="1"/>
      <w:numFmt w:val="bullet"/>
      <w:lvlText w:val=""/>
      <w:lvlJc w:val="left"/>
      <w:pPr>
        <w:ind w:left="2984" w:hanging="360"/>
      </w:pPr>
      <w:rPr>
        <w:rFonts w:ascii="Symbol" w:hAnsi="Symbol" w:hint="default"/>
      </w:rPr>
    </w:lvl>
    <w:lvl w:ilvl="4" w:tplc="080C0003" w:tentative="1">
      <w:start w:val="1"/>
      <w:numFmt w:val="bullet"/>
      <w:lvlText w:val="o"/>
      <w:lvlJc w:val="left"/>
      <w:pPr>
        <w:ind w:left="3704" w:hanging="360"/>
      </w:pPr>
      <w:rPr>
        <w:rFonts w:ascii="Courier New" w:hAnsi="Courier New" w:cs="Courier New" w:hint="default"/>
      </w:rPr>
    </w:lvl>
    <w:lvl w:ilvl="5" w:tplc="080C0005" w:tentative="1">
      <w:start w:val="1"/>
      <w:numFmt w:val="bullet"/>
      <w:lvlText w:val=""/>
      <w:lvlJc w:val="left"/>
      <w:pPr>
        <w:ind w:left="4424" w:hanging="360"/>
      </w:pPr>
      <w:rPr>
        <w:rFonts w:ascii="Wingdings" w:hAnsi="Wingdings" w:hint="default"/>
      </w:rPr>
    </w:lvl>
    <w:lvl w:ilvl="6" w:tplc="080C0001" w:tentative="1">
      <w:start w:val="1"/>
      <w:numFmt w:val="bullet"/>
      <w:lvlText w:val=""/>
      <w:lvlJc w:val="left"/>
      <w:pPr>
        <w:ind w:left="5144" w:hanging="360"/>
      </w:pPr>
      <w:rPr>
        <w:rFonts w:ascii="Symbol" w:hAnsi="Symbol" w:hint="default"/>
      </w:rPr>
    </w:lvl>
    <w:lvl w:ilvl="7" w:tplc="080C0003" w:tentative="1">
      <w:start w:val="1"/>
      <w:numFmt w:val="bullet"/>
      <w:lvlText w:val="o"/>
      <w:lvlJc w:val="left"/>
      <w:pPr>
        <w:ind w:left="5864" w:hanging="360"/>
      </w:pPr>
      <w:rPr>
        <w:rFonts w:ascii="Courier New" w:hAnsi="Courier New" w:cs="Courier New" w:hint="default"/>
      </w:rPr>
    </w:lvl>
    <w:lvl w:ilvl="8" w:tplc="080C0005" w:tentative="1">
      <w:start w:val="1"/>
      <w:numFmt w:val="bullet"/>
      <w:lvlText w:val=""/>
      <w:lvlJc w:val="left"/>
      <w:pPr>
        <w:ind w:left="6584" w:hanging="360"/>
      </w:pPr>
      <w:rPr>
        <w:rFonts w:ascii="Wingdings" w:hAnsi="Wingdings" w:hint="default"/>
      </w:rPr>
    </w:lvl>
  </w:abstractNum>
  <w:abstractNum w:abstractNumId="5">
    <w:nsid w:val="11052B7F"/>
    <w:multiLevelType w:val="hybridMultilevel"/>
    <w:tmpl w:val="F528B66E"/>
    <w:lvl w:ilvl="0" w:tplc="53D23030">
      <w:start w:val="2"/>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D7B61"/>
    <w:multiLevelType w:val="hybridMultilevel"/>
    <w:tmpl w:val="27B466C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nsid w:val="29310388"/>
    <w:multiLevelType w:val="hybridMultilevel"/>
    <w:tmpl w:val="4EB2568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nsid w:val="2AC4581D"/>
    <w:multiLevelType w:val="hybridMultilevel"/>
    <w:tmpl w:val="37926A08"/>
    <w:lvl w:ilvl="0" w:tplc="E7F8B578">
      <w:numFmt w:val="bullet"/>
      <w:lvlText w:val="-"/>
      <w:lvlJc w:val="left"/>
      <w:pPr>
        <w:ind w:left="720" w:hanging="360"/>
      </w:pPr>
      <w:rPr>
        <w:rFonts w:ascii="Calibri" w:eastAsiaTheme="minorHAnsi" w:hAnsi="Calibri" w:cs="Calibri"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nsid w:val="350F3056"/>
    <w:multiLevelType w:val="hybridMultilevel"/>
    <w:tmpl w:val="45541A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8C75B55"/>
    <w:multiLevelType w:val="hybridMultilevel"/>
    <w:tmpl w:val="105028C6"/>
    <w:lvl w:ilvl="0" w:tplc="0C000001">
      <w:start w:val="1"/>
      <w:numFmt w:val="bullet"/>
      <w:lvlText w:val=""/>
      <w:lvlJc w:val="left"/>
      <w:pPr>
        <w:ind w:left="720" w:hanging="360"/>
      </w:pPr>
      <w:rPr>
        <w:rFonts w:ascii="Symbol" w:hAnsi="Symbol"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nsid w:val="38D16D1C"/>
    <w:multiLevelType w:val="hybridMultilevel"/>
    <w:tmpl w:val="35D6CCC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nsid w:val="3C0557AA"/>
    <w:multiLevelType w:val="hybridMultilevel"/>
    <w:tmpl w:val="943A0E96"/>
    <w:lvl w:ilvl="0" w:tplc="66682260">
      <w:start w:val="1"/>
      <w:numFmt w:val="bullet"/>
      <w:lvlText w:val="‒"/>
      <w:lvlJc w:val="left"/>
      <w:pPr>
        <w:ind w:left="720" w:hanging="360"/>
      </w:pPr>
      <w:rPr>
        <w:rFonts w:ascii="Calibri" w:hAnsi="Calibri"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nsid w:val="3DAE6F1B"/>
    <w:multiLevelType w:val="hybridMultilevel"/>
    <w:tmpl w:val="6BA862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B856C1"/>
    <w:multiLevelType w:val="hybridMultilevel"/>
    <w:tmpl w:val="84B23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E0459D"/>
    <w:multiLevelType w:val="hybridMultilevel"/>
    <w:tmpl w:val="C7E4090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nsid w:val="59E72AD4"/>
    <w:multiLevelType w:val="hybridMultilevel"/>
    <w:tmpl w:val="9D7C435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nsid w:val="5A2F0839"/>
    <w:multiLevelType w:val="hybridMultilevel"/>
    <w:tmpl w:val="4E80F6DC"/>
    <w:lvl w:ilvl="0" w:tplc="0C00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nsid w:val="5D4A1E2A"/>
    <w:multiLevelType w:val="hybridMultilevel"/>
    <w:tmpl w:val="B18A81D0"/>
    <w:lvl w:ilvl="0" w:tplc="0C000001">
      <w:start w:val="1"/>
      <w:numFmt w:val="bullet"/>
      <w:lvlText w:val=""/>
      <w:lvlJc w:val="left"/>
      <w:pPr>
        <w:ind w:left="768" w:hanging="360"/>
      </w:pPr>
      <w:rPr>
        <w:rFonts w:ascii="Symbol" w:hAnsi="Symbol" w:hint="default"/>
      </w:rPr>
    </w:lvl>
    <w:lvl w:ilvl="1" w:tplc="0C000003" w:tentative="1">
      <w:start w:val="1"/>
      <w:numFmt w:val="bullet"/>
      <w:lvlText w:val="o"/>
      <w:lvlJc w:val="left"/>
      <w:pPr>
        <w:ind w:left="1488" w:hanging="360"/>
      </w:pPr>
      <w:rPr>
        <w:rFonts w:ascii="Courier New" w:hAnsi="Courier New" w:cs="Courier New" w:hint="default"/>
      </w:rPr>
    </w:lvl>
    <w:lvl w:ilvl="2" w:tplc="0C000005" w:tentative="1">
      <w:start w:val="1"/>
      <w:numFmt w:val="bullet"/>
      <w:lvlText w:val=""/>
      <w:lvlJc w:val="left"/>
      <w:pPr>
        <w:ind w:left="2208" w:hanging="360"/>
      </w:pPr>
      <w:rPr>
        <w:rFonts w:ascii="Wingdings" w:hAnsi="Wingdings" w:hint="default"/>
      </w:rPr>
    </w:lvl>
    <w:lvl w:ilvl="3" w:tplc="0C000001" w:tentative="1">
      <w:start w:val="1"/>
      <w:numFmt w:val="bullet"/>
      <w:lvlText w:val=""/>
      <w:lvlJc w:val="left"/>
      <w:pPr>
        <w:ind w:left="2928" w:hanging="360"/>
      </w:pPr>
      <w:rPr>
        <w:rFonts w:ascii="Symbol" w:hAnsi="Symbol" w:hint="default"/>
      </w:rPr>
    </w:lvl>
    <w:lvl w:ilvl="4" w:tplc="0C000003" w:tentative="1">
      <w:start w:val="1"/>
      <w:numFmt w:val="bullet"/>
      <w:lvlText w:val="o"/>
      <w:lvlJc w:val="left"/>
      <w:pPr>
        <w:ind w:left="3648" w:hanging="360"/>
      </w:pPr>
      <w:rPr>
        <w:rFonts w:ascii="Courier New" w:hAnsi="Courier New" w:cs="Courier New" w:hint="default"/>
      </w:rPr>
    </w:lvl>
    <w:lvl w:ilvl="5" w:tplc="0C000005" w:tentative="1">
      <w:start w:val="1"/>
      <w:numFmt w:val="bullet"/>
      <w:lvlText w:val=""/>
      <w:lvlJc w:val="left"/>
      <w:pPr>
        <w:ind w:left="4368" w:hanging="360"/>
      </w:pPr>
      <w:rPr>
        <w:rFonts w:ascii="Wingdings" w:hAnsi="Wingdings" w:hint="default"/>
      </w:rPr>
    </w:lvl>
    <w:lvl w:ilvl="6" w:tplc="0C000001" w:tentative="1">
      <w:start w:val="1"/>
      <w:numFmt w:val="bullet"/>
      <w:lvlText w:val=""/>
      <w:lvlJc w:val="left"/>
      <w:pPr>
        <w:ind w:left="5088" w:hanging="360"/>
      </w:pPr>
      <w:rPr>
        <w:rFonts w:ascii="Symbol" w:hAnsi="Symbol" w:hint="default"/>
      </w:rPr>
    </w:lvl>
    <w:lvl w:ilvl="7" w:tplc="0C000003" w:tentative="1">
      <w:start w:val="1"/>
      <w:numFmt w:val="bullet"/>
      <w:lvlText w:val="o"/>
      <w:lvlJc w:val="left"/>
      <w:pPr>
        <w:ind w:left="5808" w:hanging="360"/>
      </w:pPr>
      <w:rPr>
        <w:rFonts w:ascii="Courier New" w:hAnsi="Courier New" w:cs="Courier New" w:hint="default"/>
      </w:rPr>
    </w:lvl>
    <w:lvl w:ilvl="8" w:tplc="0C000005" w:tentative="1">
      <w:start w:val="1"/>
      <w:numFmt w:val="bullet"/>
      <w:lvlText w:val=""/>
      <w:lvlJc w:val="left"/>
      <w:pPr>
        <w:ind w:left="6528" w:hanging="360"/>
      </w:pPr>
      <w:rPr>
        <w:rFonts w:ascii="Wingdings" w:hAnsi="Wingdings" w:hint="default"/>
      </w:rPr>
    </w:lvl>
  </w:abstractNum>
  <w:abstractNum w:abstractNumId="19">
    <w:nsid w:val="60B88DA5"/>
    <w:multiLevelType w:val="hybridMultilevel"/>
    <w:tmpl w:val="B227E8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95D5B90"/>
    <w:multiLevelType w:val="hybridMultilevel"/>
    <w:tmpl w:val="448ACAC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nsid w:val="6A6C788B"/>
    <w:multiLevelType w:val="hybridMultilevel"/>
    <w:tmpl w:val="908CB4A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nsid w:val="6C1645AA"/>
    <w:multiLevelType w:val="hybridMultilevel"/>
    <w:tmpl w:val="9AB23B6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nsid w:val="6D064381"/>
    <w:multiLevelType w:val="hybridMultilevel"/>
    <w:tmpl w:val="C9344F64"/>
    <w:lvl w:ilvl="0" w:tplc="D856E892">
      <w:numFmt w:val="bullet"/>
      <w:lvlText w:val="ₒ"/>
      <w:lvlJc w:val="left"/>
      <w:pPr>
        <w:ind w:left="720" w:hanging="360"/>
      </w:pPr>
      <w:rPr>
        <w:rFonts w:ascii="Arial" w:hAnsi="Aria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950CEF"/>
    <w:multiLevelType w:val="hybridMultilevel"/>
    <w:tmpl w:val="652E0108"/>
    <w:lvl w:ilvl="0" w:tplc="0C000015">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5">
    <w:nsid w:val="720F6A4C"/>
    <w:multiLevelType w:val="hybridMultilevel"/>
    <w:tmpl w:val="F8C08FC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
  </w:num>
  <w:num w:numId="7">
    <w:abstractNumId w:val="14"/>
  </w:num>
  <w:num w:numId="8">
    <w:abstractNumId w:val="4"/>
  </w:num>
  <w:num w:numId="9">
    <w:abstractNumId w:val="9"/>
  </w:num>
  <w:num w:numId="10">
    <w:abstractNumId w:val="13"/>
  </w:num>
  <w:num w:numId="11">
    <w:abstractNumId w:val="5"/>
  </w:num>
  <w:num w:numId="12">
    <w:abstractNumId w:val="12"/>
  </w:num>
  <w:num w:numId="13">
    <w:abstractNumId w:val="8"/>
  </w:num>
  <w:num w:numId="14">
    <w:abstractNumId w:val="21"/>
  </w:num>
  <w:num w:numId="15">
    <w:abstractNumId w:val="7"/>
  </w:num>
  <w:num w:numId="16">
    <w:abstractNumId w:val="18"/>
  </w:num>
  <w:num w:numId="17">
    <w:abstractNumId w:val="11"/>
  </w:num>
  <w:num w:numId="18">
    <w:abstractNumId w:val="0"/>
  </w:num>
  <w:num w:numId="19">
    <w:abstractNumId w:val="19"/>
  </w:num>
  <w:num w:numId="20">
    <w:abstractNumId w:val="24"/>
  </w:num>
  <w:num w:numId="21">
    <w:abstractNumId w:val="15"/>
  </w:num>
  <w:num w:numId="22">
    <w:abstractNumId w:val="6"/>
  </w:num>
  <w:num w:numId="23">
    <w:abstractNumId w:val="3"/>
  </w:num>
  <w:num w:numId="24">
    <w:abstractNumId w:val="25"/>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59"/>
    <w:rsid w:val="000015FE"/>
    <w:rsid w:val="000016F8"/>
    <w:rsid w:val="000039BE"/>
    <w:rsid w:val="00005A3E"/>
    <w:rsid w:val="00007EED"/>
    <w:rsid w:val="00010136"/>
    <w:rsid w:val="000123A7"/>
    <w:rsid w:val="00013D11"/>
    <w:rsid w:val="00015C9B"/>
    <w:rsid w:val="0002514C"/>
    <w:rsid w:val="000252C3"/>
    <w:rsid w:val="000260D7"/>
    <w:rsid w:val="000275E6"/>
    <w:rsid w:val="00030CC9"/>
    <w:rsid w:val="000310D3"/>
    <w:rsid w:val="000401C9"/>
    <w:rsid w:val="00040C3E"/>
    <w:rsid w:val="000443B7"/>
    <w:rsid w:val="000500B2"/>
    <w:rsid w:val="00050691"/>
    <w:rsid w:val="000509E5"/>
    <w:rsid w:val="00050E88"/>
    <w:rsid w:val="00051765"/>
    <w:rsid w:val="000517A1"/>
    <w:rsid w:val="0005388C"/>
    <w:rsid w:val="0005478E"/>
    <w:rsid w:val="0005602E"/>
    <w:rsid w:val="00056A18"/>
    <w:rsid w:val="000571FD"/>
    <w:rsid w:val="00060B5C"/>
    <w:rsid w:val="00065952"/>
    <w:rsid w:val="000700F3"/>
    <w:rsid w:val="0007076D"/>
    <w:rsid w:val="00070B5F"/>
    <w:rsid w:val="00072BFB"/>
    <w:rsid w:val="0007337E"/>
    <w:rsid w:val="000733DB"/>
    <w:rsid w:val="0007383D"/>
    <w:rsid w:val="00074E8D"/>
    <w:rsid w:val="00075F93"/>
    <w:rsid w:val="000821FC"/>
    <w:rsid w:val="00083423"/>
    <w:rsid w:val="00083942"/>
    <w:rsid w:val="000844B9"/>
    <w:rsid w:val="00084B51"/>
    <w:rsid w:val="00090F41"/>
    <w:rsid w:val="0009224A"/>
    <w:rsid w:val="00092A22"/>
    <w:rsid w:val="00093DD9"/>
    <w:rsid w:val="00094E4E"/>
    <w:rsid w:val="00096063"/>
    <w:rsid w:val="000960E0"/>
    <w:rsid w:val="000A0145"/>
    <w:rsid w:val="000A105D"/>
    <w:rsid w:val="000A1676"/>
    <w:rsid w:val="000A36A1"/>
    <w:rsid w:val="000A4783"/>
    <w:rsid w:val="000A4931"/>
    <w:rsid w:val="000A73B0"/>
    <w:rsid w:val="000B031D"/>
    <w:rsid w:val="000C0787"/>
    <w:rsid w:val="000C2B32"/>
    <w:rsid w:val="000C49A6"/>
    <w:rsid w:val="000C540B"/>
    <w:rsid w:val="000C5C03"/>
    <w:rsid w:val="000C7F95"/>
    <w:rsid w:val="000D3751"/>
    <w:rsid w:val="000D509B"/>
    <w:rsid w:val="000D53F1"/>
    <w:rsid w:val="000D5B72"/>
    <w:rsid w:val="000D7868"/>
    <w:rsid w:val="000E1B6A"/>
    <w:rsid w:val="000E3924"/>
    <w:rsid w:val="000E4CA3"/>
    <w:rsid w:val="000E6F89"/>
    <w:rsid w:val="000F032A"/>
    <w:rsid w:val="000F3B61"/>
    <w:rsid w:val="000F4AF7"/>
    <w:rsid w:val="000F6371"/>
    <w:rsid w:val="0010216D"/>
    <w:rsid w:val="001038A7"/>
    <w:rsid w:val="00107090"/>
    <w:rsid w:val="0010752F"/>
    <w:rsid w:val="00111A5C"/>
    <w:rsid w:val="00111E01"/>
    <w:rsid w:val="0011784E"/>
    <w:rsid w:val="00121B4C"/>
    <w:rsid w:val="00121FE4"/>
    <w:rsid w:val="0012752E"/>
    <w:rsid w:val="0013012E"/>
    <w:rsid w:val="0013209B"/>
    <w:rsid w:val="001326EF"/>
    <w:rsid w:val="00132DCB"/>
    <w:rsid w:val="001345DD"/>
    <w:rsid w:val="001352D7"/>
    <w:rsid w:val="00137870"/>
    <w:rsid w:val="00142045"/>
    <w:rsid w:val="00142D78"/>
    <w:rsid w:val="00152802"/>
    <w:rsid w:val="0015420F"/>
    <w:rsid w:val="00154AA8"/>
    <w:rsid w:val="001559C1"/>
    <w:rsid w:val="00156637"/>
    <w:rsid w:val="001614A8"/>
    <w:rsid w:val="00164E0E"/>
    <w:rsid w:val="00174242"/>
    <w:rsid w:val="0017460A"/>
    <w:rsid w:val="00175DD3"/>
    <w:rsid w:val="00182B06"/>
    <w:rsid w:val="001A4540"/>
    <w:rsid w:val="001A5319"/>
    <w:rsid w:val="001A5674"/>
    <w:rsid w:val="001B311D"/>
    <w:rsid w:val="001B5174"/>
    <w:rsid w:val="001B6AD2"/>
    <w:rsid w:val="001B7430"/>
    <w:rsid w:val="001C164A"/>
    <w:rsid w:val="001C1EF3"/>
    <w:rsid w:val="001C388C"/>
    <w:rsid w:val="001C769D"/>
    <w:rsid w:val="001D5C0D"/>
    <w:rsid w:val="001D792F"/>
    <w:rsid w:val="001E2C93"/>
    <w:rsid w:val="001E5604"/>
    <w:rsid w:val="001E6B54"/>
    <w:rsid w:val="001F09CC"/>
    <w:rsid w:val="001F5680"/>
    <w:rsid w:val="00211001"/>
    <w:rsid w:val="00212F40"/>
    <w:rsid w:val="00215016"/>
    <w:rsid w:val="00215503"/>
    <w:rsid w:val="002163A2"/>
    <w:rsid w:val="0021671C"/>
    <w:rsid w:val="00222379"/>
    <w:rsid w:val="002223D0"/>
    <w:rsid w:val="00222419"/>
    <w:rsid w:val="00223852"/>
    <w:rsid w:val="0022520F"/>
    <w:rsid w:val="00235922"/>
    <w:rsid w:val="002407C1"/>
    <w:rsid w:val="002415B9"/>
    <w:rsid w:val="0024703B"/>
    <w:rsid w:val="00247D0C"/>
    <w:rsid w:val="00251264"/>
    <w:rsid w:val="00260039"/>
    <w:rsid w:val="00262DC7"/>
    <w:rsid w:val="00263A37"/>
    <w:rsid w:val="00266436"/>
    <w:rsid w:val="0027047F"/>
    <w:rsid w:val="00271904"/>
    <w:rsid w:val="00271FCF"/>
    <w:rsid w:val="00274982"/>
    <w:rsid w:val="00274AA6"/>
    <w:rsid w:val="00276AF7"/>
    <w:rsid w:val="002779D8"/>
    <w:rsid w:val="00283DF8"/>
    <w:rsid w:val="002845C0"/>
    <w:rsid w:val="00290087"/>
    <w:rsid w:val="00293AA3"/>
    <w:rsid w:val="00297839"/>
    <w:rsid w:val="0029785E"/>
    <w:rsid w:val="002A217E"/>
    <w:rsid w:val="002A3EF7"/>
    <w:rsid w:val="002A5E46"/>
    <w:rsid w:val="002A607C"/>
    <w:rsid w:val="002A6CEE"/>
    <w:rsid w:val="002B19AD"/>
    <w:rsid w:val="002B2ED0"/>
    <w:rsid w:val="002B39A4"/>
    <w:rsid w:val="002C50C6"/>
    <w:rsid w:val="002C70BC"/>
    <w:rsid w:val="002D197A"/>
    <w:rsid w:val="002D2092"/>
    <w:rsid w:val="002E1669"/>
    <w:rsid w:val="002E63E4"/>
    <w:rsid w:val="002E7DE7"/>
    <w:rsid w:val="002F05F6"/>
    <w:rsid w:val="002F06A6"/>
    <w:rsid w:val="002F1D22"/>
    <w:rsid w:val="002F42A8"/>
    <w:rsid w:val="002F4C9C"/>
    <w:rsid w:val="002F697F"/>
    <w:rsid w:val="00300026"/>
    <w:rsid w:val="003012C2"/>
    <w:rsid w:val="00301F96"/>
    <w:rsid w:val="00303265"/>
    <w:rsid w:val="00304641"/>
    <w:rsid w:val="0030548B"/>
    <w:rsid w:val="003066CE"/>
    <w:rsid w:val="00307C48"/>
    <w:rsid w:val="0031004F"/>
    <w:rsid w:val="003231F3"/>
    <w:rsid w:val="00323412"/>
    <w:rsid w:val="00324DCC"/>
    <w:rsid w:val="0032636A"/>
    <w:rsid w:val="0033017B"/>
    <w:rsid w:val="003314BC"/>
    <w:rsid w:val="003316F2"/>
    <w:rsid w:val="0033255C"/>
    <w:rsid w:val="00333E3B"/>
    <w:rsid w:val="0033414C"/>
    <w:rsid w:val="00334E62"/>
    <w:rsid w:val="003354B6"/>
    <w:rsid w:val="0033675D"/>
    <w:rsid w:val="00336879"/>
    <w:rsid w:val="00340254"/>
    <w:rsid w:val="003406E0"/>
    <w:rsid w:val="003471AB"/>
    <w:rsid w:val="00347F99"/>
    <w:rsid w:val="00350819"/>
    <w:rsid w:val="0035206E"/>
    <w:rsid w:val="003520C7"/>
    <w:rsid w:val="00353424"/>
    <w:rsid w:val="003535C8"/>
    <w:rsid w:val="00354C3C"/>
    <w:rsid w:val="003607E5"/>
    <w:rsid w:val="00362F74"/>
    <w:rsid w:val="003658F2"/>
    <w:rsid w:val="00367C8D"/>
    <w:rsid w:val="00370598"/>
    <w:rsid w:val="00372946"/>
    <w:rsid w:val="00380AA7"/>
    <w:rsid w:val="00381E0D"/>
    <w:rsid w:val="00382862"/>
    <w:rsid w:val="003845C6"/>
    <w:rsid w:val="00386117"/>
    <w:rsid w:val="00387BB5"/>
    <w:rsid w:val="003919B6"/>
    <w:rsid w:val="00392014"/>
    <w:rsid w:val="0039302D"/>
    <w:rsid w:val="00393864"/>
    <w:rsid w:val="003949B0"/>
    <w:rsid w:val="00395408"/>
    <w:rsid w:val="003959B1"/>
    <w:rsid w:val="00396159"/>
    <w:rsid w:val="00396560"/>
    <w:rsid w:val="00396BD6"/>
    <w:rsid w:val="00397961"/>
    <w:rsid w:val="003979C8"/>
    <w:rsid w:val="003A3C74"/>
    <w:rsid w:val="003A5094"/>
    <w:rsid w:val="003A5C6B"/>
    <w:rsid w:val="003A6562"/>
    <w:rsid w:val="003B6360"/>
    <w:rsid w:val="003B72C8"/>
    <w:rsid w:val="003C3270"/>
    <w:rsid w:val="003C5722"/>
    <w:rsid w:val="003D22FB"/>
    <w:rsid w:val="003D441E"/>
    <w:rsid w:val="003D4FF6"/>
    <w:rsid w:val="003E152A"/>
    <w:rsid w:val="003E1881"/>
    <w:rsid w:val="003E216F"/>
    <w:rsid w:val="003E39EB"/>
    <w:rsid w:val="003E3B6B"/>
    <w:rsid w:val="003E5950"/>
    <w:rsid w:val="003F0634"/>
    <w:rsid w:val="003F0DE2"/>
    <w:rsid w:val="003F177F"/>
    <w:rsid w:val="003F22EA"/>
    <w:rsid w:val="003F2307"/>
    <w:rsid w:val="003F2383"/>
    <w:rsid w:val="003F3A87"/>
    <w:rsid w:val="004035B1"/>
    <w:rsid w:val="0040444E"/>
    <w:rsid w:val="00407ADC"/>
    <w:rsid w:val="004102A2"/>
    <w:rsid w:val="00411421"/>
    <w:rsid w:val="00415C88"/>
    <w:rsid w:val="004200BC"/>
    <w:rsid w:val="00421955"/>
    <w:rsid w:val="00422430"/>
    <w:rsid w:val="00423F63"/>
    <w:rsid w:val="004322B2"/>
    <w:rsid w:val="00433536"/>
    <w:rsid w:val="0043441A"/>
    <w:rsid w:val="004361B0"/>
    <w:rsid w:val="00437C74"/>
    <w:rsid w:val="00444FFC"/>
    <w:rsid w:val="00446670"/>
    <w:rsid w:val="0045112E"/>
    <w:rsid w:val="00454DB7"/>
    <w:rsid w:val="0045530D"/>
    <w:rsid w:val="004605F4"/>
    <w:rsid w:val="00463901"/>
    <w:rsid w:val="004650AA"/>
    <w:rsid w:val="00465914"/>
    <w:rsid w:val="0047019F"/>
    <w:rsid w:val="00480291"/>
    <w:rsid w:val="0049062F"/>
    <w:rsid w:val="004934F5"/>
    <w:rsid w:val="00493604"/>
    <w:rsid w:val="00495C14"/>
    <w:rsid w:val="004960C6"/>
    <w:rsid w:val="00497518"/>
    <w:rsid w:val="004A3017"/>
    <w:rsid w:val="004A4745"/>
    <w:rsid w:val="004B38CA"/>
    <w:rsid w:val="004B45CB"/>
    <w:rsid w:val="004B5217"/>
    <w:rsid w:val="004B69BE"/>
    <w:rsid w:val="004B7E2A"/>
    <w:rsid w:val="004B7F07"/>
    <w:rsid w:val="004C10EC"/>
    <w:rsid w:val="004C19AC"/>
    <w:rsid w:val="004D1AF4"/>
    <w:rsid w:val="004D44DA"/>
    <w:rsid w:val="004D68C0"/>
    <w:rsid w:val="004E499A"/>
    <w:rsid w:val="004E4C16"/>
    <w:rsid w:val="004E7489"/>
    <w:rsid w:val="004F0B54"/>
    <w:rsid w:val="004F5098"/>
    <w:rsid w:val="004F6C7F"/>
    <w:rsid w:val="005013D8"/>
    <w:rsid w:val="00504523"/>
    <w:rsid w:val="00507409"/>
    <w:rsid w:val="00510B97"/>
    <w:rsid w:val="00511379"/>
    <w:rsid w:val="0051203A"/>
    <w:rsid w:val="005141E6"/>
    <w:rsid w:val="005173F2"/>
    <w:rsid w:val="00522494"/>
    <w:rsid w:val="00522B1C"/>
    <w:rsid w:val="005331E3"/>
    <w:rsid w:val="0054094C"/>
    <w:rsid w:val="00540A68"/>
    <w:rsid w:val="00543B58"/>
    <w:rsid w:val="00543D11"/>
    <w:rsid w:val="00553238"/>
    <w:rsid w:val="00553D0C"/>
    <w:rsid w:val="00557ADF"/>
    <w:rsid w:val="0056004C"/>
    <w:rsid w:val="0056116C"/>
    <w:rsid w:val="00561347"/>
    <w:rsid w:val="00561E61"/>
    <w:rsid w:val="00561F52"/>
    <w:rsid w:val="0056286C"/>
    <w:rsid w:val="0056585D"/>
    <w:rsid w:val="00566B89"/>
    <w:rsid w:val="00573858"/>
    <w:rsid w:val="00576B09"/>
    <w:rsid w:val="00580DA9"/>
    <w:rsid w:val="00582FAE"/>
    <w:rsid w:val="005836E8"/>
    <w:rsid w:val="00583703"/>
    <w:rsid w:val="0058419D"/>
    <w:rsid w:val="005852B6"/>
    <w:rsid w:val="005867D9"/>
    <w:rsid w:val="005875AC"/>
    <w:rsid w:val="0059106F"/>
    <w:rsid w:val="00591C72"/>
    <w:rsid w:val="00592AE3"/>
    <w:rsid w:val="00593815"/>
    <w:rsid w:val="005945E8"/>
    <w:rsid w:val="00595047"/>
    <w:rsid w:val="00595E70"/>
    <w:rsid w:val="0059672A"/>
    <w:rsid w:val="005A7A23"/>
    <w:rsid w:val="005B1C88"/>
    <w:rsid w:val="005B2DA4"/>
    <w:rsid w:val="005B3EC9"/>
    <w:rsid w:val="005B405E"/>
    <w:rsid w:val="005B44AF"/>
    <w:rsid w:val="005B60EC"/>
    <w:rsid w:val="005C1494"/>
    <w:rsid w:val="005C1B04"/>
    <w:rsid w:val="005C22D3"/>
    <w:rsid w:val="005C2FB4"/>
    <w:rsid w:val="005C3962"/>
    <w:rsid w:val="005C4E36"/>
    <w:rsid w:val="005C4EA2"/>
    <w:rsid w:val="005C6E25"/>
    <w:rsid w:val="005D156F"/>
    <w:rsid w:val="005D2847"/>
    <w:rsid w:val="005E32B6"/>
    <w:rsid w:val="005E3911"/>
    <w:rsid w:val="005E6884"/>
    <w:rsid w:val="005F111F"/>
    <w:rsid w:val="005F173C"/>
    <w:rsid w:val="005F17DF"/>
    <w:rsid w:val="005F57D5"/>
    <w:rsid w:val="005F7765"/>
    <w:rsid w:val="005F7B33"/>
    <w:rsid w:val="006000FE"/>
    <w:rsid w:val="00600734"/>
    <w:rsid w:val="00603A4F"/>
    <w:rsid w:val="006043D2"/>
    <w:rsid w:val="00606959"/>
    <w:rsid w:val="00606F99"/>
    <w:rsid w:val="00610F4A"/>
    <w:rsid w:val="006135C9"/>
    <w:rsid w:val="00616B20"/>
    <w:rsid w:val="0062028C"/>
    <w:rsid w:val="00620B41"/>
    <w:rsid w:val="00625782"/>
    <w:rsid w:val="00626BC1"/>
    <w:rsid w:val="0062726E"/>
    <w:rsid w:val="00630D6A"/>
    <w:rsid w:val="00632F41"/>
    <w:rsid w:val="006331BA"/>
    <w:rsid w:val="00633963"/>
    <w:rsid w:val="006368E1"/>
    <w:rsid w:val="006374A5"/>
    <w:rsid w:val="006403BA"/>
    <w:rsid w:val="0064109A"/>
    <w:rsid w:val="006411D8"/>
    <w:rsid w:val="00642366"/>
    <w:rsid w:val="00642D5F"/>
    <w:rsid w:val="00643B93"/>
    <w:rsid w:val="00644130"/>
    <w:rsid w:val="0064494B"/>
    <w:rsid w:val="006513BA"/>
    <w:rsid w:val="00653663"/>
    <w:rsid w:val="006552BA"/>
    <w:rsid w:val="00660041"/>
    <w:rsid w:val="00661B4C"/>
    <w:rsid w:val="00661BA9"/>
    <w:rsid w:val="00663020"/>
    <w:rsid w:val="00663747"/>
    <w:rsid w:val="0066465A"/>
    <w:rsid w:val="00666521"/>
    <w:rsid w:val="006671AD"/>
    <w:rsid w:val="00673D94"/>
    <w:rsid w:val="0068076E"/>
    <w:rsid w:val="00681B95"/>
    <w:rsid w:val="00686EC5"/>
    <w:rsid w:val="00690362"/>
    <w:rsid w:val="006908C8"/>
    <w:rsid w:val="00695464"/>
    <w:rsid w:val="006A0492"/>
    <w:rsid w:val="006A2BED"/>
    <w:rsid w:val="006A2F62"/>
    <w:rsid w:val="006A3FEF"/>
    <w:rsid w:val="006A45A4"/>
    <w:rsid w:val="006A65A9"/>
    <w:rsid w:val="006A7DAD"/>
    <w:rsid w:val="006B05EE"/>
    <w:rsid w:val="006B2810"/>
    <w:rsid w:val="006B2854"/>
    <w:rsid w:val="006B286E"/>
    <w:rsid w:val="006B3364"/>
    <w:rsid w:val="006B428D"/>
    <w:rsid w:val="006B6E98"/>
    <w:rsid w:val="006B7419"/>
    <w:rsid w:val="006C40A4"/>
    <w:rsid w:val="006C73AF"/>
    <w:rsid w:val="006D0D42"/>
    <w:rsid w:val="006D1C22"/>
    <w:rsid w:val="006D30A9"/>
    <w:rsid w:val="006D7861"/>
    <w:rsid w:val="006E0199"/>
    <w:rsid w:val="006E0524"/>
    <w:rsid w:val="006E0D6B"/>
    <w:rsid w:val="006E0FBA"/>
    <w:rsid w:val="006E5220"/>
    <w:rsid w:val="006F21C0"/>
    <w:rsid w:val="00702912"/>
    <w:rsid w:val="0070445D"/>
    <w:rsid w:val="007048CF"/>
    <w:rsid w:val="007050D2"/>
    <w:rsid w:val="00706B42"/>
    <w:rsid w:val="00710EDC"/>
    <w:rsid w:val="007124C3"/>
    <w:rsid w:val="00721454"/>
    <w:rsid w:val="00724E0B"/>
    <w:rsid w:val="0072592A"/>
    <w:rsid w:val="00731DEF"/>
    <w:rsid w:val="00733F02"/>
    <w:rsid w:val="00735ADC"/>
    <w:rsid w:val="00736EC1"/>
    <w:rsid w:val="007372F6"/>
    <w:rsid w:val="00741045"/>
    <w:rsid w:val="00742C97"/>
    <w:rsid w:val="007501A1"/>
    <w:rsid w:val="00750B28"/>
    <w:rsid w:val="007518FE"/>
    <w:rsid w:val="00751960"/>
    <w:rsid w:val="00751B00"/>
    <w:rsid w:val="00751C33"/>
    <w:rsid w:val="007545CD"/>
    <w:rsid w:val="00754611"/>
    <w:rsid w:val="00755174"/>
    <w:rsid w:val="00756915"/>
    <w:rsid w:val="007570B4"/>
    <w:rsid w:val="0076142F"/>
    <w:rsid w:val="00765386"/>
    <w:rsid w:val="00766659"/>
    <w:rsid w:val="00767AE1"/>
    <w:rsid w:val="00767DAA"/>
    <w:rsid w:val="00771291"/>
    <w:rsid w:val="00771493"/>
    <w:rsid w:val="00771C07"/>
    <w:rsid w:val="00774AC7"/>
    <w:rsid w:val="00775796"/>
    <w:rsid w:val="00775956"/>
    <w:rsid w:val="00776BBA"/>
    <w:rsid w:val="0078090E"/>
    <w:rsid w:val="007821A9"/>
    <w:rsid w:val="0078308A"/>
    <w:rsid w:val="0078368C"/>
    <w:rsid w:val="00783B7A"/>
    <w:rsid w:val="00785BCE"/>
    <w:rsid w:val="007A04BC"/>
    <w:rsid w:val="007A0D8F"/>
    <w:rsid w:val="007A1B65"/>
    <w:rsid w:val="007A392B"/>
    <w:rsid w:val="007A6C7B"/>
    <w:rsid w:val="007B03B8"/>
    <w:rsid w:val="007B3E41"/>
    <w:rsid w:val="007B5206"/>
    <w:rsid w:val="007C197E"/>
    <w:rsid w:val="007C3EBC"/>
    <w:rsid w:val="007C4947"/>
    <w:rsid w:val="007C6172"/>
    <w:rsid w:val="007C69F8"/>
    <w:rsid w:val="007D0571"/>
    <w:rsid w:val="007D231A"/>
    <w:rsid w:val="007D2F29"/>
    <w:rsid w:val="007D3828"/>
    <w:rsid w:val="007D4B6F"/>
    <w:rsid w:val="007E04F4"/>
    <w:rsid w:val="007E0BF8"/>
    <w:rsid w:val="007E2103"/>
    <w:rsid w:val="007E5E56"/>
    <w:rsid w:val="007E66E2"/>
    <w:rsid w:val="007E7E0A"/>
    <w:rsid w:val="007F3B2D"/>
    <w:rsid w:val="007F4F54"/>
    <w:rsid w:val="00801A52"/>
    <w:rsid w:val="00801E98"/>
    <w:rsid w:val="008025DA"/>
    <w:rsid w:val="008048A8"/>
    <w:rsid w:val="00804A9E"/>
    <w:rsid w:val="008058D2"/>
    <w:rsid w:val="00805C9A"/>
    <w:rsid w:val="00806EDF"/>
    <w:rsid w:val="00810A9F"/>
    <w:rsid w:val="00811228"/>
    <w:rsid w:val="00812261"/>
    <w:rsid w:val="00814048"/>
    <w:rsid w:val="008209E3"/>
    <w:rsid w:val="0082259A"/>
    <w:rsid w:val="00824BB7"/>
    <w:rsid w:val="00826F80"/>
    <w:rsid w:val="00832C2E"/>
    <w:rsid w:val="0083322C"/>
    <w:rsid w:val="0083341B"/>
    <w:rsid w:val="0084245A"/>
    <w:rsid w:val="00842934"/>
    <w:rsid w:val="00846AC9"/>
    <w:rsid w:val="00850CE2"/>
    <w:rsid w:val="008531BF"/>
    <w:rsid w:val="0085388D"/>
    <w:rsid w:val="00856A1E"/>
    <w:rsid w:val="00856DB9"/>
    <w:rsid w:val="0086438B"/>
    <w:rsid w:val="008711A2"/>
    <w:rsid w:val="00871B9D"/>
    <w:rsid w:val="008738A1"/>
    <w:rsid w:val="008770BF"/>
    <w:rsid w:val="008776AA"/>
    <w:rsid w:val="0088572C"/>
    <w:rsid w:val="00885D35"/>
    <w:rsid w:val="00890A85"/>
    <w:rsid w:val="00891DA2"/>
    <w:rsid w:val="00894EB8"/>
    <w:rsid w:val="0089546A"/>
    <w:rsid w:val="008A0F56"/>
    <w:rsid w:val="008A251E"/>
    <w:rsid w:val="008A28A0"/>
    <w:rsid w:val="008B23EF"/>
    <w:rsid w:val="008B33E3"/>
    <w:rsid w:val="008B3501"/>
    <w:rsid w:val="008B65AD"/>
    <w:rsid w:val="008B6610"/>
    <w:rsid w:val="008B6FC9"/>
    <w:rsid w:val="008B742F"/>
    <w:rsid w:val="008C187A"/>
    <w:rsid w:val="008C1C6E"/>
    <w:rsid w:val="008C3EEB"/>
    <w:rsid w:val="008C55E9"/>
    <w:rsid w:val="008D0D12"/>
    <w:rsid w:val="008D1DB0"/>
    <w:rsid w:val="008D26FD"/>
    <w:rsid w:val="008D3183"/>
    <w:rsid w:val="008D35BC"/>
    <w:rsid w:val="008D6DAA"/>
    <w:rsid w:val="008D6EF0"/>
    <w:rsid w:val="008D7543"/>
    <w:rsid w:val="008E0077"/>
    <w:rsid w:val="008E041C"/>
    <w:rsid w:val="008F19E1"/>
    <w:rsid w:val="008F1D63"/>
    <w:rsid w:val="008F3B02"/>
    <w:rsid w:val="008F59E5"/>
    <w:rsid w:val="008F62CA"/>
    <w:rsid w:val="008F63CD"/>
    <w:rsid w:val="009004E5"/>
    <w:rsid w:val="00901F13"/>
    <w:rsid w:val="00903572"/>
    <w:rsid w:val="00907A80"/>
    <w:rsid w:val="009130AC"/>
    <w:rsid w:val="00914794"/>
    <w:rsid w:val="009148FA"/>
    <w:rsid w:val="00915ADF"/>
    <w:rsid w:val="00921D31"/>
    <w:rsid w:val="00922D2F"/>
    <w:rsid w:val="009243D9"/>
    <w:rsid w:val="009265A8"/>
    <w:rsid w:val="009308E6"/>
    <w:rsid w:val="00934BB7"/>
    <w:rsid w:val="00935C7D"/>
    <w:rsid w:val="00937D9B"/>
    <w:rsid w:val="0094055F"/>
    <w:rsid w:val="00944D09"/>
    <w:rsid w:val="0094638E"/>
    <w:rsid w:val="00950162"/>
    <w:rsid w:val="009519C3"/>
    <w:rsid w:val="009528A6"/>
    <w:rsid w:val="00953B97"/>
    <w:rsid w:val="00956DFA"/>
    <w:rsid w:val="009610C2"/>
    <w:rsid w:val="009630B8"/>
    <w:rsid w:val="00963E96"/>
    <w:rsid w:val="00964859"/>
    <w:rsid w:val="00986F93"/>
    <w:rsid w:val="009918F7"/>
    <w:rsid w:val="009941B6"/>
    <w:rsid w:val="00995C16"/>
    <w:rsid w:val="00996889"/>
    <w:rsid w:val="009A2F77"/>
    <w:rsid w:val="009A3816"/>
    <w:rsid w:val="009A6DB2"/>
    <w:rsid w:val="009A7A6F"/>
    <w:rsid w:val="009B177A"/>
    <w:rsid w:val="009B1DD6"/>
    <w:rsid w:val="009B3C80"/>
    <w:rsid w:val="009B4C71"/>
    <w:rsid w:val="009B50B4"/>
    <w:rsid w:val="009C1460"/>
    <w:rsid w:val="009C1B42"/>
    <w:rsid w:val="009D220F"/>
    <w:rsid w:val="009D2F92"/>
    <w:rsid w:val="009D4884"/>
    <w:rsid w:val="009D4A90"/>
    <w:rsid w:val="009D6C58"/>
    <w:rsid w:val="009D725E"/>
    <w:rsid w:val="009E34A0"/>
    <w:rsid w:val="009E3F62"/>
    <w:rsid w:val="009F3BE6"/>
    <w:rsid w:val="009F51CB"/>
    <w:rsid w:val="009F6E01"/>
    <w:rsid w:val="00A0160D"/>
    <w:rsid w:val="00A0273A"/>
    <w:rsid w:val="00A033E6"/>
    <w:rsid w:val="00A03CBD"/>
    <w:rsid w:val="00A04300"/>
    <w:rsid w:val="00A04743"/>
    <w:rsid w:val="00A0671E"/>
    <w:rsid w:val="00A11B05"/>
    <w:rsid w:val="00A144F8"/>
    <w:rsid w:val="00A20978"/>
    <w:rsid w:val="00A23B2B"/>
    <w:rsid w:val="00A23D76"/>
    <w:rsid w:val="00A26B2C"/>
    <w:rsid w:val="00A27082"/>
    <w:rsid w:val="00A274E8"/>
    <w:rsid w:val="00A315A4"/>
    <w:rsid w:val="00A315DF"/>
    <w:rsid w:val="00A31C7B"/>
    <w:rsid w:val="00A330EC"/>
    <w:rsid w:val="00A34E44"/>
    <w:rsid w:val="00A35199"/>
    <w:rsid w:val="00A41DCA"/>
    <w:rsid w:val="00A42BE0"/>
    <w:rsid w:val="00A45068"/>
    <w:rsid w:val="00A46A4D"/>
    <w:rsid w:val="00A52C5E"/>
    <w:rsid w:val="00A536BD"/>
    <w:rsid w:val="00A5666B"/>
    <w:rsid w:val="00A56882"/>
    <w:rsid w:val="00A6217C"/>
    <w:rsid w:val="00A623B9"/>
    <w:rsid w:val="00A64959"/>
    <w:rsid w:val="00A6513E"/>
    <w:rsid w:val="00A65629"/>
    <w:rsid w:val="00A65CD9"/>
    <w:rsid w:val="00A673BF"/>
    <w:rsid w:val="00A67E65"/>
    <w:rsid w:val="00A70339"/>
    <w:rsid w:val="00A734EF"/>
    <w:rsid w:val="00A75419"/>
    <w:rsid w:val="00A77072"/>
    <w:rsid w:val="00A82A55"/>
    <w:rsid w:val="00A8787B"/>
    <w:rsid w:val="00A907EB"/>
    <w:rsid w:val="00A90FA2"/>
    <w:rsid w:val="00A92858"/>
    <w:rsid w:val="00A94434"/>
    <w:rsid w:val="00AA20A7"/>
    <w:rsid w:val="00AA5ACC"/>
    <w:rsid w:val="00AA6CD8"/>
    <w:rsid w:val="00AA6FF7"/>
    <w:rsid w:val="00AB4378"/>
    <w:rsid w:val="00AB45FE"/>
    <w:rsid w:val="00AB5CCA"/>
    <w:rsid w:val="00AB7215"/>
    <w:rsid w:val="00AC0BB3"/>
    <w:rsid w:val="00AC24F8"/>
    <w:rsid w:val="00AC5C0C"/>
    <w:rsid w:val="00AC6B0B"/>
    <w:rsid w:val="00AD0D1D"/>
    <w:rsid w:val="00AD0E43"/>
    <w:rsid w:val="00AD14E0"/>
    <w:rsid w:val="00AD7B9D"/>
    <w:rsid w:val="00AD7DEA"/>
    <w:rsid w:val="00AE02D8"/>
    <w:rsid w:val="00AE3850"/>
    <w:rsid w:val="00AE3B79"/>
    <w:rsid w:val="00AE5FAD"/>
    <w:rsid w:val="00AE5FEF"/>
    <w:rsid w:val="00AE7774"/>
    <w:rsid w:val="00AF0D4D"/>
    <w:rsid w:val="00AF319A"/>
    <w:rsid w:val="00B011F1"/>
    <w:rsid w:val="00B01EEC"/>
    <w:rsid w:val="00B02FD5"/>
    <w:rsid w:val="00B103B4"/>
    <w:rsid w:val="00B105BA"/>
    <w:rsid w:val="00B11FE9"/>
    <w:rsid w:val="00B13B5A"/>
    <w:rsid w:val="00B13BA7"/>
    <w:rsid w:val="00B15CFE"/>
    <w:rsid w:val="00B16C27"/>
    <w:rsid w:val="00B17DA8"/>
    <w:rsid w:val="00B20895"/>
    <w:rsid w:val="00B2152D"/>
    <w:rsid w:val="00B2200C"/>
    <w:rsid w:val="00B22FE7"/>
    <w:rsid w:val="00B230D4"/>
    <w:rsid w:val="00B41CB6"/>
    <w:rsid w:val="00B4455C"/>
    <w:rsid w:val="00B44A67"/>
    <w:rsid w:val="00B47EAA"/>
    <w:rsid w:val="00B5025F"/>
    <w:rsid w:val="00B50919"/>
    <w:rsid w:val="00B53DEC"/>
    <w:rsid w:val="00B54949"/>
    <w:rsid w:val="00B55509"/>
    <w:rsid w:val="00B55D2F"/>
    <w:rsid w:val="00B63FE5"/>
    <w:rsid w:val="00B70062"/>
    <w:rsid w:val="00B7100E"/>
    <w:rsid w:val="00B714EA"/>
    <w:rsid w:val="00B71C12"/>
    <w:rsid w:val="00B72175"/>
    <w:rsid w:val="00B737A9"/>
    <w:rsid w:val="00B76BFE"/>
    <w:rsid w:val="00B7790E"/>
    <w:rsid w:val="00B835E8"/>
    <w:rsid w:val="00B854FA"/>
    <w:rsid w:val="00B93B8A"/>
    <w:rsid w:val="00B9542B"/>
    <w:rsid w:val="00B95D3D"/>
    <w:rsid w:val="00B96DB2"/>
    <w:rsid w:val="00BA0288"/>
    <w:rsid w:val="00BA0767"/>
    <w:rsid w:val="00BA19AA"/>
    <w:rsid w:val="00BB193D"/>
    <w:rsid w:val="00BC0948"/>
    <w:rsid w:val="00BC2D52"/>
    <w:rsid w:val="00BC31F9"/>
    <w:rsid w:val="00BC4D05"/>
    <w:rsid w:val="00BC4FB4"/>
    <w:rsid w:val="00BC5D88"/>
    <w:rsid w:val="00BD0ED5"/>
    <w:rsid w:val="00BD3170"/>
    <w:rsid w:val="00BE30B4"/>
    <w:rsid w:val="00BE5D32"/>
    <w:rsid w:val="00BE6220"/>
    <w:rsid w:val="00BE724F"/>
    <w:rsid w:val="00BF00A2"/>
    <w:rsid w:val="00BF38E0"/>
    <w:rsid w:val="00BF618B"/>
    <w:rsid w:val="00BF69CF"/>
    <w:rsid w:val="00C02018"/>
    <w:rsid w:val="00C02C32"/>
    <w:rsid w:val="00C03BE9"/>
    <w:rsid w:val="00C055AE"/>
    <w:rsid w:val="00C077AC"/>
    <w:rsid w:val="00C10012"/>
    <w:rsid w:val="00C108D3"/>
    <w:rsid w:val="00C151F5"/>
    <w:rsid w:val="00C2318C"/>
    <w:rsid w:val="00C23CEE"/>
    <w:rsid w:val="00C24E42"/>
    <w:rsid w:val="00C30393"/>
    <w:rsid w:val="00C3498D"/>
    <w:rsid w:val="00C37621"/>
    <w:rsid w:val="00C3795D"/>
    <w:rsid w:val="00C37EB5"/>
    <w:rsid w:val="00C40811"/>
    <w:rsid w:val="00C439AE"/>
    <w:rsid w:val="00C5381F"/>
    <w:rsid w:val="00C63592"/>
    <w:rsid w:val="00C64866"/>
    <w:rsid w:val="00C676FA"/>
    <w:rsid w:val="00C70691"/>
    <w:rsid w:val="00C70B61"/>
    <w:rsid w:val="00C756BD"/>
    <w:rsid w:val="00C82072"/>
    <w:rsid w:val="00C85089"/>
    <w:rsid w:val="00C853A1"/>
    <w:rsid w:val="00C86A57"/>
    <w:rsid w:val="00C916B8"/>
    <w:rsid w:val="00C91BC8"/>
    <w:rsid w:val="00C93960"/>
    <w:rsid w:val="00CA2850"/>
    <w:rsid w:val="00CA5349"/>
    <w:rsid w:val="00CA70C0"/>
    <w:rsid w:val="00CA7991"/>
    <w:rsid w:val="00CB1421"/>
    <w:rsid w:val="00CB1CA1"/>
    <w:rsid w:val="00CB3EE4"/>
    <w:rsid w:val="00CB4AFE"/>
    <w:rsid w:val="00CB575E"/>
    <w:rsid w:val="00CB62E1"/>
    <w:rsid w:val="00CB6339"/>
    <w:rsid w:val="00CB6392"/>
    <w:rsid w:val="00CB6C72"/>
    <w:rsid w:val="00CC14FC"/>
    <w:rsid w:val="00CC2F91"/>
    <w:rsid w:val="00CC3DEC"/>
    <w:rsid w:val="00CC6CAD"/>
    <w:rsid w:val="00CD1DCF"/>
    <w:rsid w:val="00CD3704"/>
    <w:rsid w:val="00CD52C1"/>
    <w:rsid w:val="00CD69C8"/>
    <w:rsid w:val="00CE0C97"/>
    <w:rsid w:val="00CE2FA8"/>
    <w:rsid w:val="00CE4002"/>
    <w:rsid w:val="00CE7EF8"/>
    <w:rsid w:val="00CF0646"/>
    <w:rsid w:val="00CF0E35"/>
    <w:rsid w:val="00CF0E59"/>
    <w:rsid w:val="00CF2A4F"/>
    <w:rsid w:val="00CF3ACF"/>
    <w:rsid w:val="00CF738F"/>
    <w:rsid w:val="00CF7FDF"/>
    <w:rsid w:val="00D0450D"/>
    <w:rsid w:val="00D10508"/>
    <w:rsid w:val="00D10D7E"/>
    <w:rsid w:val="00D11C24"/>
    <w:rsid w:val="00D15EFF"/>
    <w:rsid w:val="00D2594D"/>
    <w:rsid w:val="00D27D3E"/>
    <w:rsid w:val="00D30648"/>
    <w:rsid w:val="00D32968"/>
    <w:rsid w:val="00D3459D"/>
    <w:rsid w:val="00D351BA"/>
    <w:rsid w:val="00D37696"/>
    <w:rsid w:val="00D40E2C"/>
    <w:rsid w:val="00D4710E"/>
    <w:rsid w:val="00D51593"/>
    <w:rsid w:val="00D52F38"/>
    <w:rsid w:val="00D57528"/>
    <w:rsid w:val="00D608F2"/>
    <w:rsid w:val="00D624B6"/>
    <w:rsid w:val="00D637A7"/>
    <w:rsid w:val="00D63965"/>
    <w:rsid w:val="00D65000"/>
    <w:rsid w:val="00D71C58"/>
    <w:rsid w:val="00D71F47"/>
    <w:rsid w:val="00D745E5"/>
    <w:rsid w:val="00D755BF"/>
    <w:rsid w:val="00D815E2"/>
    <w:rsid w:val="00D8301B"/>
    <w:rsid w:val="00D85A20"/>
    <w:rsid w:val="00D86A18"/>
    <w:rsid w:val="00D86D4A"/>
    <w:rsid w:val="00D9007B"/>
    <w:rsid w:val="00D913CA"/>
    <w:rsid w:val="00D94CDA"/>
    <w:rsid w:val="00D96842"/>
    <w:rsid w:val="00DA5DD2"/>
    <w:rsid w:val="00DB0C6C"/>
    <w:rsid w:val="00DB2959"/>
    <w:rsid w:val="00DB39C2"/>
    <w:rsid w:val="00DB6759"/>
    <w:rsid w:val="00DC2BC8"/>
    <w:rsid w:val="00DC48BB"/>
    <w:rsid w:val="00DC4D25"/>
    <w:rsid w:val="00DC4E7C"/>
    <w:rsid w:val="00DC6E1F"/>
    <w:rsid w:val="00DC723B"/>
    <w:rsid w:val="00DD2E11"/>
    <w:rsid w:val="00DD3E36"/>
    <w:rsid w:val="00DD439E"/>
    <w:rsid w:val="00DD4915"/>
    <w:rsid w:val="00DE0486"/>
    <w:rsid w:val="00DE16B7"/>
    <w:rsid w:val="00DE2915"/>
    <w:rsid w:val="00DE2CC1"/>
    <w:rsid w:val="00DE43E9"/>
    <w:rsid w:val="00DF5B23"/>
    <w:rsid w:val="00DF7127"/>
    <w:rsid w:val="00E07943"/>
    <w:rsid w:val="00E131A1"/>
    <w:rsid w:val="00E16027"/>
    <w:rsid w:val="00E202F5"/>
    <w:rsid w:val="00E227AB"/>
    <w:rsid w:val="00E25426"/>
    <w:rsid w:val="00E27549"/>
    <w:rsid w:val="00E34AFF"/>
    <w:rsid w:val="00E34BE0"/>
    <w:rsid w:val="00E35885"/>
    <w:rsid w:val="00E37707"/>
    <w:rsid w:val="00E37AC4"/>
    <w:rsid w:val="00E37E80"/>
    <w:rsid w:val="00E4255E"/>
    <w:rsid w:val="00E42B63"/>
    <w:rsid w:val="00E4361F"/>
    <w:rsid w:val="00E4512A"/>
    <w:rsid w:val="00E549C8"/>
    <w:rsid w:val="00E5525C"/>
    <w:rsid w:val="00E55C93"/>
    <w:rsid w:val="00E60BCB"/>
    <w:rsid w:val="00E60D90"/>
    <w:rsid w:val="00E63F90"/>
    <w:rsid w:val="00E678CF"/>
    <w:rsid w:val="00E7077D"/>
    <w:rsid w:val="00E763FE"/>
    <w:rsid w:val="00E77230"/>
    <w:rsid w:val="00E77CC0"/>
    <w:rsid w:val="00E800E8"/>
    <w:rsid w:val="00E80195"/>
    <w:rsid w:val="00E8138D"/>
    <w:rsid w:val="00E8241C"/>
    <w:rsid w:val="00E8400C"/>
    <w:rsid w:val="00E84DA5"/>
    <w:rsid w:val="00E87AD2"/>
    <w:rsid w:val="00E925FD"/>
    <w:rsid w:val="00E93A29"/>
    <w:rsid w:val="00E9449A"/>
    <w:rsid w:val="00E95CF3"/>
    <w:rsid w:val="00EA07B1"/>
    <w:rsid w:val="00EA2215"/>
    <w:rsid w:val="00EA24CE"/>
    <w:rsid w:val="00EA5AAD"/>
    <w:rsid w:val="00EA6416"/>
    <w:rsid w:val="00EA7F0A"/>
    <w:rsid w:val="00EA7FA0"/>
    <w:rsid w:val="00EB05D1"/>
    <w:rsid w:val="00EB0849"/>
    <w:rsid w:val="00EB0B4D"/>
    <w:rsid w:val="00EB3A8F"/>
    <w:rsid w:val="00EC221A"/>
    <w:rsid w:val="00EC4268"/>
    <w:rsid w:val="00EC42EF"/>
    <w:rsid w:val="00EC4CCA"/>
    <w:rsid w:val="00ED1AC4"/>
    <w:rsid w:val="00ED312A"/>
    <w:rsid w:val="00ED3EC5"/>
    <w:rsid w:val="00ED5E57"/>
    <w:rsid w:val="00ED611B"/>
    <w:rsid w:val="00ED759D"/>
    <w:rsid w:val="00EE01E0"/>
    <w:rsid w:val="00EE1060"/>
    <w:rsid w:val="00EE4B2D"/>
    <w:rsid w:val="00EE6127"/>
    <w:rsid w:val="00EF135E"/>
    <w:rsid w:val="00EF4D19"/>
    <w:rsid w:val="00EF5205"/>
    <w:rsid w:val="00EF68E6"/>
    <w:rsid w:val="00EF7121"/>
    <w:rsid w:val="00F037D8"/>
    <w:rsid w:val="00F05E46"/>
    <w:rsid w:val="00F1094A"/>
    <w:rsid w:val="00F14C15"/>
    <w:rsid w:val="00F16820"/>
    <w:rsid w:val="00F228A1"/>
    <w:rsid w:val="00F2485D"/>
    <w:rsid w:val="00F2514B"/>
    <w:rsid w:val="00F26FC0"/>
    <w:rsid w:val="00F351F2"/>
    <w:rsid w:val="00F40F97"/>
    <w:rsid w:val="00F42D13"/>
    <w:rsid w:val="00F44428"/>
    <w:rsid w:val="00F44458"/>
    <w:rsid w:val="00F44F79"/>
    <w:rsid w:val="00F46D42"/>
    <w:rsid w:val="00F47062"/>
    <w:rsid w:val="00F47CD6"/>
    <w:rsid w:val="00F508A7"/>
    <w:rsid w:val="00F53BE1"/>
    <w:rsid w:val="00F60818"/>
    <w:rsid w:val="00F60CCB"/>
    <w:rsid w:val="00F64D8E"/>
    <w:rsid w:val="00F662BE"/>
    <w:rsid w:val="00F8031D"/>
    <w:rsid w:val="00F80C4A"/>
    <w:rsid w:val="00F82337"/>
    <w:rsid w:val="00F8271A"/>
    <w:rsid w:val="00F85470"/>
    <w:rsid w:val="00F934AE"/>
    <w:rsid w:val="00F94B3E"/>
    <w:rsid w:val="00F97653"/>
    <w:rsid w:val="00FA02A6"/>
    <w:rsid w:val="00FA165E"/>
    <w:rsid w:val="00FA21BD"/>
    <w:rsid w:val="00FA310A"/>
    <w:rsid w:val="00FA4055"/>
    <w:rsid w:val="00FA536B"/>
    <w:rsid w:val="00FA6189"/>
    <w:rsid w:val="00FA6FD8"/>
    <w:rsid w:val="00FB2EB4"/>
    <w:rsid w:val="00FB3B04"/>
    <w:rsid w:val="00FB518C"/>
    <w:rsid w:val="00FB5AF2"/>
    <w:rsid w:val="00FB7022"/>
    <w:rsid w:val="00FC1747"/>
    <w:rsid w:val="00FD13B7"/>
    <w:rsid w:val="00FD7482"/>
    <w:rsid w:val="00FD7D47"/>
    <w:rsid w:val="00FE07FA"/>
    <w:rsid w:val="00FE6CD1"/>
    <w:rsid w:val="00FF084E"/>
    <w:rsid w:val="00FF0A84"/>
    <w:rsid w:val="00FF4BDB"/>
    <w:rsid w:val="00FF4FCE"/>
    <w:rsid w:val="00FF5858"/>
    <w:rsid w:val="00FF68EB"/>
    <w:rsid w:val="00FF700D"/>
    <w:rsid w:val="00FF712D"/>
    <w:rsid w:val="00FF792E"/>
    <w:rsid w:val="1181A1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6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967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nhideWhenUsed/>
    <w:qFormat/>
    <w:rsid w:val="00ED3EC5"/>
    <w:pPr>
      <w:spacing w:after="0" w:line="288" w:lineRule="auto"/>
      <w:jc w:val="both"/>
      <w:outlineLvl w:val="1"/>
    </w:pPr>
    <w:rPr>
      <w:rFonts w:ascii="Times New Roman" w:eastAsia="Times New Roman" w:hAnsi="Times New Roman" w:cs="Times New Roman"/>
      <w:lang w:val="en-US"/>
    </w:rPr>
  </w:style>
  <w:style w:type="paragraph" w:styleId="Nadpis3">
    <w:name w:val="heading 3"/>
    <w:basedOn w:val="Normln"/>
    <w:next w:val="Normln"/>
    <w:link w:val="Nadpis3Char"/>
    <w:semiHidden/>
    <w:unhideWhenUsed/>
    <w:qFormat/>
    <w:rsid w:val="00ED3EC5"/>
    <w:pPr>
      <w:spacing w:after="0" w:line="288" w:lineRule="auto"/>
      <w:ind w:left="720" w:hanging="720"/>
      <w:jc w:val="both"/>
      <w:outlineLvl w:val="2"/>
    </w:pPr>
    <w:rPr>
      <w:rFonts w:ascii="Times New Roman" w:eastAsia="Times New Roman" w:hAnsi="Times New Roman" w:cs="Times New Roman"/>
      <w:lang w:val="en-US"/>
    </w:rPr>
  </w:style>
  <w:style w:type="paragraph" w:styleId="Nadpis4">
    <w:name w:val="heading 4"/>
    <w:basedOn w:val="Normln"/>
    <w:next w:val="Normln"/>
    <w:link w:val="Nadpis4Char"/>
    <w:semiHidden/>
    <w:unhideWhenUsed/>
    <w:qFormat/>
    <w:rsid w:val="00ED3EC5"/>
    <w:pPr>
      <w:spacing w:after="0" w:line="288" w:lineRule="auto"/>
      <w:ind w:left="720" w:hanging="720"/>
      <w:jc w:val="both"/>
      <w:outlineLvl w:val="3"/>
    </w:pPr>
    <w:rPr>
      <w:rFonts w:ascii="Times New Roman" w:eastAsia="Times New Roman" w:hAnsi="Times New Roman" w:cs="Times New Roman"/>
      <w:lang w:val="en-US"/>
    </w:rPr>
  </w:style>
  <w:style w:type="paragraph" w:styleId="Nadpis5">
    <w:name w:val="heading 5"/>
    <w:basedOn w:val="Normln"/>
    <w:next w:val="Normln"/>
    <w:link w:val="Nadpis5Char"/>
    <w:semiHidden/>
    <w:unhideWhenUsed/>
    <w:qFormat/>
    <w:rsid w:val="00ED3EC5"/>
    <w:pPr>
      <w:spacing w:after="0" w:line="288" w:lineRule="auto"/>
      <w:ind w:left="720" w:hanging="720"/>
      <w:jc w:val="both"/>
      <w:outlineLvl w:val="4"/>
    </w:pPr>
    <w:rPr>
      <w:rFonts w:ascii="Times New Roman" w:eastAsia="Times New Roman" w:hAnsi="Times New Roman" w:cs="Times New Roman"/>
      <w:lang w:val="en-US"/>
    </w:rPr>
  </w:style>
  <w:style w:type="paragraph" w:styleId="Nadpis6">
    <w:name w:val="heading 6"/>
    <w:basedOn w:val="Normln"/>
    <w:next w:val="Normln"/>
    <w:link w:val="Nadpis6Char"/>
    <w:semiHidden/>
    <w:unhideWhenUsed/>
    <w:qFormat/>
    <w:rsid w:val="00ED3EC5"/>
    <w:pPr>
      <w:spacing w:after="0" w:line="288" w:lineRule="auto"/>
      <w:ind w:left="720" w:hanging="720"/>
      <w:jc w:val="both"/>
      <w:outlineLvl w:val="5"/>
    </w:pPr>
    <w:rPr>
      <w:rFonts w:ascii="Times New Roman" w:eastAsia="Times New Roman" w:hAnsi="Times New Roman" w:cs="Times New Roman"/>
      <w:lang w:val="en-US"/>
    </w:rPr>
  </w:style>
  <w:style w:type="paragraph" w:styleId="Nadpis7">
    <w:name w:val="heading 7"/>
    <w:basedOn w:val="Normln"/>
    <w:next w:val="Normln"/>
    <w:link w:val="Nadpis7Char"/>
    <w:semiHidden/>
    <w:unhideWhenUsed/>
    <w:qFormat/>
    <w:rsid w:val="00ED3EC5"/>
    <w:pPr>
      <w:spacing w:after="0" w:line="288" w:lineRule="auto"/>
      <w:ind w:left="720" w:hanging="720"/>
      <w:jc w:val="both"/>
      <w:outlineLvl w:val="6"/>
    </w:pPr>
    <w:rPr>
      <w:rFonts w:ascii="Times New Roman" w:eastAsia="Times New Roman" w:hAnsi="Times New Roman" w:cs="Times New Roman"/>
      <w:lang w:val="en-US"/>
    </w:rPr>
  </w:style>
  <w:style w:type="paragraph" w:styleId="Nadpis8">
    <w:name w:val="heading 8"/>
    <w:basedOn w:val="Normln"/>
    <w:next w:val="Normln"/>
    <w:link w:val="Nadpis8Char"/>
    <w:semiHidden/>
    <w:unhideWhenUsed/>
    <w:qFormat/>
    <w:rsid w:val="00ED3EC5"/>
    <w:pPr>
      <w:spacing w:after="0" w:line="288" w:lineRule="auto"/>
      <w:ind w:left="720" w:hanging="720"/>
      <w:jc w:val="both"/>
      <w:outlineLvl w:val="7"/>
    </w:pPr>
    <w:rPr>
      <w:rFonts w:ascii="Times New Roman" w:eastAsia="Times New Roman" w:hAnsi="Times New Roman" w:cs="Times New Roman"/>
      <w:lang w:val="en-US"/>
    </w:rPr>
  </w:style>
  <w:style w:type="paragraph" w:styleId="Nadpis9">
    <w:name w:val="heading 9"/>
    <w:basedOn w:val="Normln"/>
    <w:next w:val="Normln"/>
    <w:link w:val="Nadpis9Char"/>
    <w:semiHidden/>
    <w:unhideWhenUsed/>
    <w:qFormat/>
    <w:rsid w:val="00ED3EC5"/>
    <w:pPr>
      <w:spacing w:after="0" w:line="288" w:lineRule="auto"/>
      <w:ind w:left="720" w:hanging="720"/>
      <w:jc w:val="both"/>
      <w:outlineLvl w:val="8"/>
    </w:pPr>
    <w:rPr>
      <w:rFonts w:ascii="Times New Roman" w:eastAsia="Times New Roman" w:hAnsi="Times New Roman"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5174"/>
    <w:pPr>
      <w:ind w:left="720"/>
      <w:contextualSpacing/>
    </w:pPr>
  </w:style>
  <w:style w:type="character" w:styleId="Odkaznakoment">
    <w:name w:val="annotation reference"/>
    <w:basedOn w:val="Standardnpsmoodstavce"/>
    <w:uiPriority w:val="99"/>
    <w:semiHidden/>
    <w:unhideWhenUsed/>
    <w:rsid w:val="00DC4E7C"/>
    <w:rPr>
      <w:sz w:val="16"/>
      <w:szCs w:val="16"/>
    </w:rPr>
  </w:style>
  <w:style w:type="paragraph" w:styleId="Textkomente">
    <w:name w:val="annotation text"/>
    <w:basedOn w:val="Normln"/>
    <w:link w:val="TextkomenteChar"/>
    <w:uiPriority w:val="99"/>
    <w:unhideWhenUsed/>
    <w:rsid w:val="00DC4E7C"/>
    <w:pPr>
      <w:spacing w:line="240" w:lineRule="auto"/>
    </w:pPr>
    <w:rPr>
      <w:sz w:val="20"/>
      <w:szCs w:val="20"/>
    </w:rPr>
  </w:style>
  <w:style w:type="character" w:customStyle="1" w:styleId="TextkomenteChar">
    <w:name w:val="Text komentáře Char"/>
    <w:basedOn w:val="Standardnpsmoodstavce"/>
    <w:link w:val="Textkomente"/>
    <w:uiPriority w:val="99"/>
    <w:rsid w:val="00DC4E7C"/>
    <w:rPr>
      <w:sz w:val="20"/>
      <w:szCs w:val="20"/>
    </w:rPr>
  </w:style>
  <w:style w:type="paragraph" w:styleId="Pedmtkomente">
    <w:name w:val="annotation subject"/>
    <w:basedOn w:val="Textkomente"/>
    <w:next w:val="Textkomente"/>
    <w:link w:val="PedmtkomenteChar"/>
    <w:uiPriority w:val="99"/>
    <w:semiHidden/>
    <w:unhideWhenUsed/>
    <w:rsid w:val="00DC4E7C"/>
    <w:rPr>
      <w:b/>
      <w:bCs/>
    </w:rPr>
  </w:style>
  <w:style w:type="character" w:customStyle="1" w:styleId="PedmtkomenteChar">
    <w:name w:val="Předmět komentáře Char"/>
    <w:basedOn w:val="TextkomenteChar"/>
    <w:link w:val="Pedmtkomente"/>
    <w:uiPriority w:val="99"/>
    <w:semiHidden/>
    <w:rsid w:val="00DC4E7C"/>
    <w:rPr>
      <w:b/>
      <w:bCs/>
      <w:sz w:val="20"/>
      <w:szCs w:val="20"/>
    </w:rPr>
  </w:style>
  <w:style w:type="paragraph" w:styleId="Textbubliny">
    <w:name w:val="Balloon Text"/>
    <w:basedOn w:val="Normln"/>
    <w:link w:val="TextbublinyChar"/>
    <w:uiPriority w:val="99"/>
    <w:semiHidden/>
    <w:unhideWhenUsed/>
    <w:rsid w:val="00DC4E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4E7C"/>
    <w:rPr>
      <w:rFonts w:ascii="Segoe UI" w:hAnsi="Segoe UI" w:cs="Segoe UI"/>
      <w:sz w:val="18"/>
      <w:szCs w:val="18"/>
    </w:rPr>
  </w:style>
  <w:style w:type="paragraph" w:styleId="Textpoznpodarou">
    <w:name w:val="footnote text"/>
    <w:basedOn w:val="Normln"/>
    <w:link w:val="TextpoznpodarouChar"/>
    <w:uiPriority w:val="99"/>
    <w:semiHidden/>
    <w:unhideWhenUsed/>
    <w:rsid w:val="003012C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012C2"/>
    <w:rPr>
      <w:sz w:val="20"/>
      <w:szCs w:val="20"/>
    </w:rPr>
  </w:style>
  <w:style w:type="character" w:styleId="Znakapoznpodarou">
    <w:name w:val="footnote reference"/>
    <w:basedOn w:val="Standardnpsmoodstavce"/>
    <w:uiPriority w:val="99"/>
    <w:semiHidden/>
    <w:unhideWhenUsed/>
    <w:rsid w:val="003012C2"/>
    <w:rPr>
      <w:vertAlign w:val="superscript"/>
    </w:rPr>
  </w:style>
  <w:style w:type="paragraph" w:styleId="Zhlav">
    <w:name w:val="header"/>
    <w:basedOn w:val="Normln"/>
    <w:link w:val="ZhlavChar"/>
    <w:uiPriority w:val="99"/>
    <w:unhideWhenUsed/>
    <w:rsid w:val="0059672A"/>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59672A"/>
  </w:style>
  <w:style w:type="paragraph" w:styleId="Zpat">
    <w:name w:val="footer"/>
    <w:basedOn w:val="Normln"/>
    <w:link w:val="ZpatChar"/>
    <w:uiPriority w:val="99"/>
    <w:unhideWhenUsed/>
    <w:rsid w:val="0059672A"/>
    <w:pPr>
      <w:tabs>
        <w:tab w:val="center" w:pos="4513"/>
        <w:tab w:val="right" w:pos="9026"/>
      </w:tabs>
      <w:spacing w:after="0" w:line="240" w:lineRule="auto"/>
    </w:pPr>
  </w:style>
  <w:style w:type="character" w:customStyle="1" w:styleId="ZpatChar">
    <w:name w:val="Zápatí Char"/>
    <w:basedOn w:val="Standardnpsmoodstavce"/>
    <w:link w:val="Zpat"/>
    <w:uiPriority w:val="99"/>
    <w:rsid w:val="0059672A"/>
  </w:style>
  <w:style w:type="character" w:customStyle="1" w:styleId="Nadpis1Char">
    <w:name w:val="Nadpis 1 Char"/>
    <w:basedOn w:val="Standardnpsmoodstavce"/>
    <w:link w:val="Nadpis1"/>
    <w:uiPriority w:val="9"/>
    <w:rsid w:val="0059672A"/>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rsid w:val="00ED3EC5"/>
    <w:rPr>
      <w:rFonts w:ascii="Times New Roman" w:eastAsia="Times New Roman" w:hAnsi="Times New Roman" w:cs="Times New Roman"/>
      <w:lang w:val="en-US"/>
    </w:rPr>
  </w:style>
  <w:style w:type="character" w:customStyle="1" w:styleId="Nadpis3Char">
    <w:name w:val="Nadpis 3 Char"/>
    <w:basedOn w:val="Standardnpsmoodstavce"/>
    <w:link w:val="Nadpis3"/>
    <w:semiHidden/>
    <w:rsid w:val="00ED3EC5"/>
    <w:rPr>
      <w:rFonts w:ascii="Times New Roman" w:eastAsia="Times New Roman" w:hAnsi="Times New Roman" w:cs="Times New Roman"/>
      <w:lang w:val="en-US"/>
    </w:rPr>
  </w:style>
  <w:style w:type="character" w:customStyle="1" w:styleId="Nadpis4Char">
    <w:name w:val="Nadpis 4 Char"/>
    <w:basedOn w:val="Standardnpsmoodstavce"/>
    <w:link w:val="Nadpis4"/>
    <w:semiHidden/>
    <w:rsid w:val="00ED3EC5"/>
    <w:rPr>
      <w:rFonts w:ascii="Times New Roman" w:eastAsia="Times New Roman" w:hAnsi="Times New Roman" w:cs="Times New Roman"/>
      <w:lang w:val="en-US"/>
    </w:rPr>
  </w:style>
  <w:style w:type="character" w:customStyle="1" w:styleId="Nadpis5Char">
    <w:name w:val="Nadpis 5 Char"/>
    <w:basedOn w:val="Standardnpsmoodstavce"/>
    <w:link w:val="Nadpis5"/>
    <w:semiHidden/>
    <w:rsid w:val="00ED3EC5"/>
    <w:rPr>
      <w:rFonts w:ascii="Times New Roman" w:eastAsia="Times New Roman" w:hAnsi="Times New Roman" w:cs="Times New Roman"/>
      <w:lang w:val="en-US"/>
    </w:rPr>
  </w:style>
  <w:style w:type="character" w:customStyle="1" w:styleId="Nadpis6Char">
    <w:name w:val="Nadpis 6 Char"/>
    <w:basedOn w:val="Standardnpsmoodstavce"/>
    <w:link w:val="Nadpis6"/>
    <w:semiHidden/>
    <w:rsid w:val="00ED3EC5"/>
    <w:rPr>
      <w:rFonts w:ascii="Times New Roman" w:eastAsia="Times New Roman" w:hAnsi="Times New Roman" w:cs="Times New Roman"/>
      <w:lang w:val="en-US"/>
    </w:rPr>
  </w:style>
  <w:style w:type="character" w:customStyle="1" w:styleId="Nadpis7Char">
    <w:name w:val="Nadpis 7 Char"/>
    <w:basedOn w:val="Standardnpsmoodstavce"/>
    <w:link w:val="Nadpis7"/>
    <w:semiHidden/>
    <w:rsid w:val="00ED3EC5"/>
    <w:rPr>
      <w:rFonts w:ascii="Times New Roman" w:eastAsia="Times New Roman" w:hAnsi="Times New Roman" w:cs="Times New Roman"/>
      <w:lang w:val="en-US"/>
    </w:rPr>
  </w:style>
  <w:style w:type="character" w:customStyle="1" w:styleId="Nadpis8Char">
    <w:name w:val="Nadpis 8 Char"/>
    <w:basedOn w:val="Standardnpsmoodstavce"/>
    <w:link w:val="Nadpis8"/>
    <w:semiHidden/>
    <w:rsid w:val="00ED3EC5"/>
    <w:rPr>
      <w:rFonts w:ascii="Times New Roman" w:eastAsia="Times New Roman" w:hAnsi="Times New Roman" w:cs="Times New Roman"/>
      <w:lang w:val="en-US"/>
    </w:rPr>
  </w:style>
  <w:style w:type="character" w:customStyle="1" w:styleId="Nadpis9Char">
    <w:name w:val="Nadpis 9 Char"/>
    <w:basedOn w:val="Standardnpsmoodstavce"/>
    <w:link w:val="Nadpis9"/>
    <w:semiHidden/>
    <w:rsid w:val="00ED3EC5"/>
    <w:rPr>
      <w:rFonts w:ascii="Times New Roman" w:eastAsia="Times New Roman" w:hAnsi="Times New Roman" w:cs="Times New Roman"/>
      <w:lang w:val="en-US"/>
    </w:rPr>
  </w:style>
  <w:style w:type="table" w:styleId="Mkatabulky">
    <w:name w:val="Table Grid"/>
    <w:basedOn w:val="Normlntabulka"/>
    <w:uiPriority w:val="39"/>
    <w:rsid w:val="00331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028C"/>
    <w:pPr>
      <w:autoSpaceDE w:val="0"/>
      <w:autoSpaceDN w:val="0"/>
      <w:adjustRightInd w:val="0"/>
      <w:spacing w:after="0" w:line="240" w:lineRule="auto"/>
    </w:pPr>
    <w:rPr>
      <w:rFonts w:ascii="Calibri" w:eastAsia="Cambria" w:hAnsi="Calibri" w:cs="Calibri"/>
      <w:color w:val="000000"/>
      <w:sz w:val="24"/>
      <w:szCs w:val="24"/>
      <w:lang w:eastAsia="en-GB"/>
    </w:rPr>
  </w:style>
  <w:style w:type="character" w:styleId="Hypertextovodkaz">
    <w:name w:val="Hyperlink"/>
    <w:basedOn w:val="Standardnpsmoodstavce"/>
    <w:uiPriority w:val="99"/>
    <w:unhideWhenUsed/>
    <w:rsid w:val="00B02FD5"/>
    <w:rPr>
      <w:color w:val="0000FF"/>
      <w:u w:val="single"/>
    </w:rPr>
  </w:style>
  <w:style w:type="paragraph" w:customStyle="1" w:styleId="xmsonormal">
    <w:name w:val="x_msonormal"/>
    <w:basedOn w:val="Normln"/>
    <w:rsid w:val="00E8138D"/>
    <w:pPr>
      <w:spacing w:after="0" w:line="240" w:lineRule="auto"/>
    </w:pPr>
    <w:rPr>
      <w:rFonts w:ascii="Calibri" w:hAnsi="Calibri" w:cs="Calibri"/>
      <w:lang w:eastAsia="en-GB"/>
    </w:rPr>
  </w:style>
  <w:style w:type="paragraph" w:styleId="Revize">
    <w:name w:val="Revision"/>
    <w:hidden/>
    <w:uiPriority w:val="99"/>
    <w:semiHidden/>
    <w:rsid w:val="009D4884"/>
    <w:pPr>
      <w:spacing w:after="0" w:line="240" w:lineRule="auto"/>
    </w:pPr>
  </w:style>
  <w:style w:type="character" w:customStyle="1" w:styleId="UnresolvedMention">
    <w:name w:val="Unresolved Mention"/>
    <w:basedOn w:val="Standardnpsmoodstavce"/>
    <w:uiPriority w:val="99"/>
    <w:semiHidden/>
    <w:unhideWhenUsed/>
    <w:rsid w:val="00D94CDA"/>
    <w:rPr>
      <w:color w:val="605E5C"/>
      <w:shd w:val="clear" w:color="auto" w:fill="E1DFDD"/>
    </w:rPr>
  </w:style>
  <w:style w:type="character" w:styleId="Sledovanodkaz">
    <w:name w:val="FollowedHyperlink"/>
    <w:basedOn w:val="Standardnpsmoodstavce"/>
    <w:uiPriority w:val="99"/>
    <w:semiHidden/>
    <w:unhideWhenUsed/>
    <w:rsid w:val="00CF0E35"/>
    <w:rPr>
      <w:color w:val="954F72" w:themeColor="followedHyperlink"/>
      <w:u w:val="single"/>
    </w:rPr>
  </w:style>
  <w:style w:type="character" w:customStyle="1" w:styleId="markedcontent">
    <w:name w:val="markedcontent"/>
    <w:basedOn w:val="Standardnpsmoodstavce"/>
    <w:rsid w:val="00040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967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nhideWhenUsed/>
    <w:qFormat/>
    <w:rsid w:val="00ED3EC5"/>
    <w:pPr>
      <w:spacing w:after="0" w:line="288" w:lineRule="auto"/>
      <w:jc w:val="both"/>
      <w:outlineLvl w:val="1"/>
    </w:pPr>
    <w:rPr>
      <w:rFonts w:ascii="Times New Roman" w:eastAsia="Times New Roman" w:hAnsi="Times New Roman" w:cs="Times New Roman"/>
      <w:lang w:val="en-US"/>
    </w:rPr>
  </w:style>
  <w:style w:type="paragraph" w:styleId="Nadpis3">
    <w:name w:val="heading 3"/>
    <w:basedOn w:val="Normln"/>
    <w:next w:val="Normln"/>
    <w:link w:val="Nadpis3Char"/>
    <w:semiHidden/>
    <w:unhideWhenUsed/>
    <w:qFormat/>
    <w:rsid w:val="00ED3EC5"/>
    <w:pPr>
      <w:spacing w:after="0" w:line="288" w:lineRule="auto"/>
      <w:ind w:left="720" w:hanging="720"/>
      <w:jc w:val="both"/>
      <w:outlineLvl w:val="2"/>
    </w:pPr>
    <w:rPr>
      <w:rFonts w:ascii="Times New Roman" w:eastAsia="Times New Roman" w:hAnsi="Times New Roman" w:cs="Times New Roman"/>
      <w:lang w:val="en-US"/>
    </w:rPr>
  </w:style>
  <w:style w:type="paragraph" w:styleId="Nadpis4">
    <w:name w:val="heading 4"/>
    <w:basedOn w:val="Normln"/>
    <w:next w:val="Normln"/>
    <w:link w:val="Nadpis4Char"/>
    <w:semiHidden/>
    <w:unhideWhenUsed/>
    <w:qFormat/>
    <w:rsid w:val="00ED3EC5"/>
    <w:pPr>
      <w:spacing w:after="0" w:line="288" w:lineRule="auto"/>
      <w:ind w:left="720" w:hanging="720"/>
      <w:jc w:val="both"/>
      <w:outlineLvl w:val="3"/>
    </w:pPr>
    <w:rPr>
      <w:rFonts w:ascii="Times New Roman" w:eastAsia="Times New Roman" w:hAnsi="Times New Roman" w:cs="Times New Roman"/>
      <w:lang w:val="en-US"/>
    </w:rPr>
  </w:style>
  <w:style w:type="paragraph" w:styleId="Nadpis5">
    <w:name w:val="heading 5"/>
    <w:basedOn w:val="Normln"/>
    <w:next w:val="Normln"/>
    <w:link w:val="Nadpis5Char"/>
    <w:semiHidden/>
    <w:unhideWhenUsed/>
    <w:qFormat/>
    <w:rsid w:val="00ED3EC5"/>
    <w:pPr>
      <w:spacing w:after="0" w:line="288" w:lineRule="auto"/>
      <w:ind w:left="720" w:hanging="720"/>
      <w:jc w:val="both"/>
      <w:outlineLvl w:val="4"/>
    </w:pPr>
    <w:rPr>
      <w:rFonts w:ascii="Times New Roman" w:eastAsia="Times New Roman" w:hAnsi="Times New Roman" w:cs="Times New Roman"/>
      <w:lang w:val="en-US"/>
    </w:rPr>
  </w:style>
  <w:style w:type="paragraph" w:styleId="Nadpis6">
    <w:name w:val="heading 6"/>
    <w:basedOn w:val="Normln"/>
    <w:next w:val="Normln"/>
    <w:link w:val="Nadpis6Char"/>
    <w:semiHidden/>
    <w:unhideWhenUsed/>
    <w:qFormat/>
    <w:rsid w:val="00ED3EC5"/>
    <w:pPr>
      <w:spacing w:after="0" w:line="288" w:lineRule="auto"/>
      <w:ind w:left="720" w:hanging="720"/>
      <w:jc w:val="both"/>
      <w:outlineLvl w:val="5"/>
    </w:pPr>
    <w:rPr>
      <w:rFonts w:ascii="Times New Roman" w:eastAsia="Times New Roman" w:hAnsi="Times New Roman" w:cs="Times New Roman"/>
      <w:lang w:val="en-US"/>
    </w:rPr>
  </w:style>
  <w:style w:type="paragraph" w:styleId="Nadpis7">
    <w:name w:val="heading 7"/>
    <w:basedOn w:val="Normln"/>
    <w:next w:val="Normln"/>
    <w:link w:val="Nadpis7Char"/>
    <w:semiHidden/>
    <w:unhideWhenUsed/>
    <w:qFormat/>
    <w:rsid w:val="00ED3EC5"/>
    <w:pPr>
      <w:spacing w:after="0" w:line="288" w:lineRule="auto"/>
      <w:ind w:left="720" w:hanging="720"/>
      <w:jc w:val="both"/>
      <w:outlineLvl w:val="6"/>
    </w:pPr>
    <w:rPr>
      <w:rFonts w:ascii="Times New Roman" w:eastAsia="Times New Roman" w:hAnsi="Times New Roman" w:cs="Times New Roman"/>
      <w:lang w:val="en-US"/>
    </w:rPr>
  </w:style>
  <w:style w:type="paragraph" w:styleId="Nadpis8">
    <w:name w:val="heading 8"/>
    <w:basedOn w:val="Normln"/>
    <w:next w:val="Normln"/>
    <w:link w:val="Nadpis8Char"/>
    <w:semiHidden/>
    <w:unhideWhenUsed/>
    <w:qFormat/>
    <w:rsid w:val="00ED3EC5"/>
    <w:pPr>
      <w:spacing w:after="0" w:line="288" w:lineRule="auto"/>
      <w:ind w:left="720" w:hanging="720"/>
      <w:jc w:val="both"/>
      <w:outlineLvl w:val="7"/>
    </w:pPr>
    <w:rPr>
      <w:rFonts w:ascii="Times New Roman" w:eastAsia="Times New Roman" w:hAnsi="Times New Roman" w:cs="Times New Roman"/>
      <w:lang w:val="en-US"/>
    </w:rPr>
  </w:style>
  <w:style w:type="paragraph" w:styleId="Nadpis9">
    <w:name w:val="heading 9"/>
    <w:basedOn w:val="Normln"/>
    <w:next w:val="Normln"/>
    <w:link w:val="Nadpis9Char"/>
    <w:semiHidden/>
    <w:unhideWhenUsed/>
    <w:qFormat/>
    <w:rsid w:val="00ED3EC5"/>
    <w:pPr>
      <w:spacing w:after="0" w:line="288" w:lineRule="auto"/>
      <w:ind w:left="720" w:hanging="720"/>
      <w:jc w:val="both"/>
      <w:outlineLvl w:val="8"/>
    </w:pPr>
    <w:rPr>
      <w:rFonts w:ascii="Times New Roman" w:eastAsia="Times New Roman" w:hAnsi="Times New Roman"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5174"/>
    <w:pPr>
      <w:ind w:left="720"/>
      <w:contextualSpacing/>
    </w:pPr>
  </w:style>
  <w:style w:type="character" w:styleId="Odkaznakoment">
    <w:name w:val="annotation reference"/>
    <w:basedOn w:val="Standardnpsmoodstavce"/>
    <w:uiPriority w:val="99"/>
    <w:semiHidden/>
    <w:unhideWhenUsed/>
    <w:rsid w:val="00DC4E7C"/>
    <w:rPr>
      <w:sz w:val="16"/>
      <w:szCs w:val="16"/>
    </w:rPr>
  </w:style>
  <w:style w:type="paragraph" w:styleId="Textkomente">
    <w:name w:val="annotation text"/>
    <w:basedOn w:val="Normln"/>
    <w:link w:val="TextkomenteChar"/>
    <w:uiPriority w:val="99"/>
    <w:unhideWhenUsed/>
    <w:rsid w:val="00DC4E7C"/>
    <w:pPr>
      <w:spacing w:line="240" w:lineRule="auto"/>
    </w:pPr>
    <w:rPr>
      <w:sz w:val="20"/>
      <w:szCs w:val="20"/>
    </w:rPr>
  </w:style>
  <w:style w:type="character" w:customStyle="1" w:styleId="TextkomenteChar">
    <w:name w:val="Text komentáře Char"/>
    <w:basedOn w:val="Standardnpsmoodstavce"/>
    <w:link w:val="Textkomente"/>
    <w:uiPriority w:val="99"/>
    <w:rsid w:val="00DC4E7C"/>
    <w:rPr>
      <w:sz w:val="20"/>
      <w:szCs w:val="20"/>
    </w:rPr>
  </w:style>
  <w:style w:type="paragraph" w:styleId="Pedmtkomente">
    <w:name w:val="annotation subject"/>
    <w:basedOn w:val="Textkomente"/>
    <w:next w:val="Textkomente"/>
    <w:link w:val="PedmtkomenteChar"/>
    <w:uiPriority w:val="99"/>
    <w:semiHidden/>
    <w:unhideWhenUsed/>
    <w:rsid w:val="00DC4E7C"/>
    <w:rPr>
      <w:b/>
      <w:bCs/>
    </w:rPr>
  </w:style>
  <w:style w:type="character" w:customStyle="1" w:styleId="PedmtkomenteChar">
    <w:name w:val="Předmět komentáře Char"/>
    <w:basedOn w:val="TextkomenteChar"/>
    <w:link w:val="Pedmtkomente"/>
    <w:uiPriority w:val="99"/>
    <w:semiHidden/>
    <w:rsid w:val="00DC4E7C"/>
    <w:rPr>
      <w:b/>
      <w:bCs/>
      <w:sz w:val="20"/>
      <w:szCs w:val="20"/>
    </w:rPr>
  </w:style>
  <w:style w:type="paragraph" w:styleId="Textbubliny">
    <w:name w:val="Balloon Text"/>
    <w:basedOn w:val="Normln"/>
    <w:link w:val="TextbublinyChar"/>
    <w:uiPriority w:val="99"/>
    <w:semiHidden/>
    <w:unhideWhenUsed/>
    <w:rsid w:val="00DC4E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4E7C"/>
    <w:rPr>
      <w:rFonts w:ascii="Segoe UI" w:hAnsi="Segoe UI" w:cs="Segoe UI"/>
      <w:sz w:val="18"/>
      <w:szCs w:val="18"/>
    </w:rPr>
  </w:style>
  <w:style w:type="paragraph" w:styleId="Textpoznpodarou">
    <w:name w:val="footnote text"/>
    <w:basedOn w:val="Normln"/>
    <w:link w:val="TextpoznpodarouChar"/>
    <w:uiPriority w:val="99"/>
    <w:semiHidden/>
    <w:unhideWhenUsed/>
    <w:rsid w:val="003012C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012C2"/>
    <w:rPr>
      <w:sz w:val="20"/>
      <w:szCs w:val="20"/>
    </w:rPr>
  </w:style>
  <w:style w:type="character" w:styleId="Znakapoznpodarou">
    <w:name w:val="footnote reference"/>
    <w:basedOn w:val="Standardnpsmoodstavce"/>
    <w:uiPriority w:val="99"/>
    <w:semiHidden/>
    <w:unhideWhenUsed/>
    <w:rsid w:val="003012C2"/>
    <w:rPr>
      <w:vertAlign w:val="superscript"/>
    </w:rPr>
  </w:style>
  <w:style w:type="paragraph" w:styleId="Zhlav">
    <w:name w:val="header"/>
    <w:basedOn w:val="Normln"/>
    <w:link w:val="ZhlavChar"/>
    <w:uiPriority w:val="99"/>
    <w:unhideWhenUsed/>
    <w:rsid w:val="0059672A"/>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59672A"/>
  </w:style>
  <w:style w:type="paragraph" w:styleId="Zpat">
    <w:name w:val="footer"/>
    <w:basedOn w:val="Normln"/>
    <w:link w:val="ZpatChar"/>
    <w:uiPriority w:val="99"/>
    <w:unhideWhenUsed/>
    <w:rsid w:val="0059672A"/>
    <w:pPr>
      <w:tabs>
        <w:tab w:val="center" w:pos="4513"/>
        <w:tab w:val="right" w:pos="9026"/>
      </w:tabs>
      <w:spacing w:after="0" w:line="240" w:lineRule="auto"/>
    </w:pPr>
  </w:style>
  <w:style w:type="character" w:customStyle="1" w:styleId="ZpatChar">
    <w:name w:val="Zápatí Char"/>
    <w:basedOn w:val="Standardnpsmoodstavce"/>
    <w:link w:val="Zpat"/>
    <w:uiPriority w:val="99"/>
    <w:rsid w:val="0059672A"/>
  </w:style>
  <w:style w:type="character" w:customStyle="1" w:styleId="Nadpis1Char">
    <w:name w:val="Nadpis 1 Char"/>
    <w:basedOn w:val="Standardnpsmoodstavce"/>
    <w:link w:val="Nadpis1"/>
    <w:uiPriority w:val="9"/>
    <w:rsid w:val="0059672A"/>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rsid w:val="00ED3EC5"/>
    <w:rPr>
      <w:rFonts w:ascii="Times New Roman" w:eastAsia="Times New Roman" w:hAnsi="Times New Roman" w:cs="Times New Roman"/>
      <w:lang w:val="en-US"/>
    </w:rPr>
  </w:style>
  <w:style w:type="character" w:customStyle="1" w:styleId="Nadpis3Char">
    <w:name w:val="Nadpis 3 Char"/>
    <w:basedOn w:val="Standardnpsmoodstavce"/>
    <w:link w:val="Nadpis3"/>
    <w:semiHidden/>
    <w:rsid w:val="00ED3EC5"/>
    <w:rPr>
      <w:rFonts w:ascii="Times New Roman" w:eastAsia="Times New Roman" w:hAnsi="Times New Roman" w:cs="Times New Roman"/>
      <w:lang w:val="en-US"/>
    </w:rPr>
  </w:style>
  <w:style w:type="character" w:customStyle="1" w:styleId="Nadpis4Char">
    <w:name w:val="Nadpis 4 Char"/>
    <w:basedOn w:val="Standardnpsmoodstavce"/>
    <w:link w:val="Nadpis4"/>
    <w:semiHidden/>
    <w:rsid w:val="00ED3EC5"/>
    <w:rPr>
      <w:rFonts w:ascii="Times New Roman" w:eastAsia="Times New Roman" w:hAnsi="Times New Roman" w:cs="Times New Roman"/>
      <w:lang w:val="en-US"/>
    </w:rPr>
  </w:style>
  <w:style w:type="character" w:customStyle="1" w:styleId="Nadpis5Char">
    <w:name w:val="Nadpis 5 Char"/>
    <w:basedOn w:val="Standardnpsmoodstavce"/>
    <w:link w:val="Nadpis5"/>
    <w:semiHidden/>
    <w:rsid w:val="00ED3EC5"/>
    <w:rPr>
      <w:rFonts w:ascii="Times New Roman" w:eastAsia="Times New Roman" w:hAnsi="Times New Roman" w:cs="Times New Roman"/>
      <w:lang w:val="en-US"/>
    </w:rPr>
  </w:style>
  <w:style w:type="character" w:customStyle="1" w:styleId="Nadpis6Char">
    <w:name w:val="Nadpis 6 Char"/>
    <w:basedOn w:val="Standardnpsmoodstavce"/>
    <w:link w:val="Nadpis6"/>
    <w:semiHidden/>
    <w:rsid w:val="00ED3EC5"/>
    <w:rPr>
      <w:rFonts w:ascii="Times New Roman" w:eastAsia="Times New Roman" w:hAnsi="Times New Roman" w:cs="Times New Roman"/>
      <w:lang w:val="en-US"/>
    </w:rPr>
  </w:style>
  <w:style w:type="character" w:customStyle="1" w:styleId="Nadpis7Char">
    <w:name w:val="Nadpis 7 Char"/>
    <w:basedOn w:val="Standardnpsmoodstavce"/>
    <w:link w:val="Nadpis7"/>
    <w:semiHidden/>
    <w:rsid w:val="00ED3EC5"/>
    <w:rPr>
      <w:rFonts w:ascii="Times New Roman" w:eastAsia="Times New Roman" w:hAnsi="Times New Roman" w:cs="Times New Roman"/>
      <w:lang w:val="en-US"/>
    </w:rPr>
  </w:style>
  <w:style w:type="character" w:customStyle="1" w:styleId="Nadpis8Char">
    <w:name w:val="Nadpis 8 Char"/>
    <w:basedOn w:val="Standardnpsmoodstavce"/>
    <w:link w:val="Nadpis8"/>
    <w:semiHidden/>
    <w:rsid w:val="00ED3EC5"/>
    <w:rPr>
      <w:rFonts w:ascii="Times New Roman" w:eastAsia="Times New Roman" w:hAnsi="Times New Roman" w:cs="Times New Roman"/>
      <w:lang w:val="en-US"/>
    </w:rPr>
  </w:style>
  <w:style w:type="character" w:customStyle="1" w:styleId="Nadpis9Char">
    <w:name w:val="Nadpis 9 Char"/>
    <w:basedOn w:val="Standardnpsmoodstavce"/>
    <w:link w:val="Nadpis9"/>
    <w:semiHidden/>
    <w:rsid w:val="00ED3EC5"/>
    <w:rPr>
      <w:rFonts w:ascii="Times New Roman" w:eastAsia="Times New Roman" w:hAnsi="Times New Roman" w:cs="Times New Roman"/>
      <w:lang w:val="en-US"/>
    </w:rPr>
  </w:style>
  <w:style w:type="table" w:styleId="Mkatabulky">
    <w:name w:val="Table Grid"/>
    <w:basedOn w:val="Normlntabulka"/>
    <w:uiPriority w:val="39"/>
    <w:rsid w:val="00331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028C"/>
    <w:pPr>
      <w:autoSpaceDE w:val="0"/>
      <w:autoSpaceDN w:val="0"/>
      <w:adjustRightInd w:val="0"/>
      <w:spacing w:after="0" w:line="240" w:lineRule="auto"/>
    </w:pPr>
    <w:rPr>
      <w:rFonts w:ascii="Calibri" w:eastAsia="Cambria" w:hAnsi="Calibri" w:cs="Calibri"/>
      <w:color w:val="000000"/>
      <w:sz w:val="24"/>
      <w:szCs w:val="24"/>
      <w:lang w:eastAsia="en-GB"/>
    </w:rPr>
  </w:style>
  <w:style w:type="character" w:styleId="Hypertextovodkaz">
    <w:name w:val="Hyperlink"/>
    <w:basedOn w:val="Standardnpsmoodstavce"/>
    <w:uiPriority w:val="99"/>
    <w:unhideWhenUsed/>
    <w:rsid w:val="00B02FD5"/>
    <w:rPr>
      <w:color w:val="0000FF"/>
      <w:u w:val="single"/>
    </w:rPr>
  </w:style>
  <w:style w:type="paragraph" w:customStyle="1" w:styleId="xmsonormal">
    <w:name w:val="x_msonormal"/>
    <w:basedOn w:val="Normln"/>
    <w:rsid w:val="00E8138D"/>
    <w:pPr>
      <w:spacing w:after="0" w:line="240" w:lineRule="auto"/>
    </w:pPr>
    <w:rPr>
      <w:rFonts w:ascii="Calibri" w:hAnsi="Calibri" w:cs="Calibri"/>
      <w:lang w:eastAsia="en-GB"/>
    </w:rPr>
  </w:style>
  <w:style w:type="paragraph" w:styleId="Revize">
    <w:name w:val="Revision"/>
    <w:hidden/>
    <w:uiPriority w:val="99"/>
    <w:semiHidden/>
    <w:rsid w:val="009D4884"/>
    <w:pPr>
      <w:spacing w:after="0" w:line="240" w:lineRule="auto"/>
    </w:pPr>
  </w:style>
  <w:style w:type="character" w:customStyle="1" w:styleId="UnresolvedMention">
    <w:name w:val="Unresolved Mention"/>
    <w:basedOn w:val="Standardnpsmoodstavce"/>
    <w:uiPriority w:val="99"/>
    <w:semiHidden/>
    <w:unhideWhenUsed/>
    <w:rsid w:val="00D94CDA"/>
    <w:rPr>
      <w:color w:val="605E5C"/>
      <w:shd w:val="clear" w:color="auto" w:fill="E1DFDD"/>
    </w:rPr>
  </w:style>
  <w:style w:type="character" w:styleId="Sledovanodkaz">
    <w:name w:val="FollowedHyperlink"/>
    <w:basedOn w:val="Standardnpsmoodstavce"/>
    <w:uiPriority w:val="99"/>
    <w:semiHidden/>
    <w:unhideWhenUsed/>
    <w:rsid w:val="00CF0E35"/>
    <w:rPr>
      <w:color w:val="954F72" w:themeColor="followedHyperlink"/>
      <w:u w:val="single"/>
    </w:rPr>
  </w:style>
  <w:style w:type="character" w:customStyle="1" w:styleId="markedcontent">
    <w:name w:val="markedcontent"/>
    <w:basedOn w:val="Standardnpsmoodstavce"/>
    <w:rsid w:val="0004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94670">
      <w:bodyDiv w:val="1"/>
      <w:marLeft w:val="0"/>
      <w:marRight w:val="0"/>
      <w:marTop w:val="0"/>
      <w:marBottom w:val="0"/>
      <w:divBdr>
        <w:top w:val="none" w:sz="0" w:space="0" w:color="auto"/>
        <w:left w:val="none" w:sz="0" w:space="0" w:color="auto"/>
        <w:bottom w:val="none" w:sz="0" w:space="0" w:color="auto"/>
        <w:right w:val="none" w:sz="0" w:space="0" w:color="auto"/>
      </w:divBdr>
    </w:div>
    <w:div w:id="1124082605">
      <w:bodyDiv w:val="1"/>
      <w:marLeft w:val="0"/>
      <w:marRight w:val="0"/>
      <w:marTop w:val="0"/>
      <w:marBottom w:val="0"/>
      <w:divBdr>
        <w:top w:val="none" w:sz="0" w:space="0" w:color="auto"/>
        <w:left w:val="none" w:sz="0" w:space="0" w:color="auto"/>
        <w:bottom w:val="none" w:sz="0" w:space="0" w:color="auto"/>
        <w:right w:val="none" w:sz="0" w:space="0" w:color="auto"/>
      </w:divBdr>
    </w:div>
    <w:div w:id="1284462790">
      <w:bodyDiv w:val="1"/>
      <w:marLeft w:val="0"/>
      <w:marRight w:val="0"/>
      <w:marTop w:val="0"/>
      <w:marBottom w:val="0"/>
      <w:divBdr>
        <w:top w:val="none" w:sz="0" w:space="0" w:color="auto"/>
        <w:left w:val="none" w:sz="0" w:space="0" w:color="auto"/>
        <w:bottom w:val="none" w:sz="0" w:space="0" w:color="auto"/>
        <w:right w:val="none" w:sz="0" w:space="0" w:color="auto"/>
      </w:divBdr>
    </w:div>
    <w:div w:id="1741294066">
      <w:bodyDiv w:val="1"/>
      <w:marLeft w:val="0"/>
      <w:marRight w:val="0"/>
      <w:marTop w:val="0"/>
      <w:marBottom w:val="0"/>
      <w:divBdr>
        <w:top w:val="none" w:sz="0" w:space="0" w:color="auto"/>
        <w:left w:val="none" w:sz="0" w:space="0" w:color="auto"/>
        <w:bottom w:val="none" w:sz="0" w:space="0" w:color="auto"/>
        <w:right w:val="none" w:sz="0" w:space="0" w:color="auto"/>
      </w:divBdr>
    </w:div>
    <w:div w:id="19535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lassallianceeurop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BA38AD08F784590D6C011ACBD2ECD" ma:contentTypeVersion="14" ma:contentTypeDescription="Create a new document." ma:contentTypeScope="" ma:versionID="c7f82345861a1e84eb3cc5d6954dc310">
  <xsd:schema xmlns:xsd="http://www.w3.org/2001/XMLSchema" xmlns:xs="http://www.w3.org/2001/XMLSchema" xmlns:p="http://schemas.microsoft.com/office/2006/metadata/properties" xmlns:ns3="df49a5d6-baba-424e-95c2-06bf07fd1ed8" xmlns:ns4="8c1f7077-9731-4da0-9338-62a4e7738b7d" targetNamespace="http://schemas.microsoft.com/office/2006/metadata/properties" ma:root="true" ma:fieldsID="a252af3df4c74767e2a368ffa60805d9" ns3:_="" ns4:_="">
    <xsd:import namespace="df49a5d6-baba-424e-95c2-06bf07fd1ed8"/>
    <xsd:import namespace="8c1f7077-9731-4da0-9338-62a4e7738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5d6-baba-424e-95c2-06bf07fd1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f7077-9731-4da0-9338-62a4e7738b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6D43-84F0-4876-A685-1797C05AC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5d6-baba-424e-95c2-06bf07fd1ed8"/>
    <ds:schemaRef ds:uri="8c1f7077-9731-4da0-9338-62a4e773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14EA4-CA69-4C9F-9C51-6709B255742A}">
  <ds:schemaRefs>
    <ds:schemaRef ds:uri="http://schemas.microsoft.com/sharepoint/v3/contenttype/forms"/>
  </ds:schemaRefs>
</ds:datastoreItem>
</file>

<file path=customXml/itemProps3.xml><?xml version="1.0" encoding="utf-8"?>
<ds:datastoreItem xmlns:ds="http://schemas.openxmlformats.org/officeDocument/2006/customXml" ds:itemID="{FBD49205-7332-4F9F-B23B-936A57F51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5C2B1A-E60E-4BBE-8D4C-FA059350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7306</Characters>
  <Application>Microsoft Office Word</Application>
  <DocSecurity>0</DocSecurity>
  <Lines>60</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AGC Glass Europe</Company>
  <LinksUpToDate>false</LinksUpToDate>
  <CharactersWithSpaces>8527</CharactersWithSpaces>
  <SharedDoc>false</SharedDoc>
  <HLinks>
    <vt:vector size="18" baseType="variant">
      <vt:variant>
        <vt:i4>6619260</vt:i4>
      </vt:variant>
      <vt:variant>
        <vt:i4>0</vt:i4>
      </vt:variant>
      <vt:variant>
        <vt:i4>0</vt:i4>
      </vt:variant>
      <vt:variant>
        <vt:i4>5</vt:i4>
      </vt:variant>
      <vt:variant>
        <vt:lpwstr>http://www.glassallianceeurope.eu/</vt:lpwstr>
      </vt:variant>
      <vt:variant>
        <vt:lpwstr/>
      </vt:variant>
      <vt:variant>
        <vt:i4>7995468</vt:i4>
      </vt:variant>
      <vt:variant>
        <vt:i4>3</vt:i4>
      </vt:variant>
      <vt:variant>
        <vt:i4>0</vt:i4>
      </vt:variant>
      <vt:variant>
        <vt:i4>5</vt:i4>
      </vt:variant>
      <vt:variant>
        <vt:lpwstr>https://www.glassallianceeurope.eu/images/cont/2021-05-05-gae-position-paper-on-decarbonisation-v2_file.pdf</vt:lpwstr>
      </vt:variant>
      <vt:variant>
        <vt:lpwstr/>
      </vt:variant>
      <vt:variant>
        <vt:i4>3211368</vt:i4>
      </vt:variant>
      <vt:variant>
        <vt:i4>0</vt:i4>
      </vt:variant>
      <vt:variant>
        <vt:i4>0</vt:i4>
      </vt:variant>
      <vt:variant>
        <vt:i4>5</vt:i4>
      </vt:variant>
      <vt:variant>
        <vt:lpwstr>https://www.iea.org/reports/tracking-industry-2020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Prados - Glass for Europe</dc:creator>
  <cp:lastModifiedBy>AsociaceSKP</cp:lastModifiedBy>
  <cp:revision>2</cp:revision>
  <cp:lastPrinted>2019-05-06T12:55:00Z</cp:lastPrinted>
  <dcterms:created xsi:type="dcterms:W3CDTF">2022-05-10T11:36:00Z</dcterms:created>
  <dcterms:modified xsi:type="dcterms:W3CDTF">2022-05-10T11:36:00Z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7b409ae2-7d92-47bc-880d-dfdb2dfb8755</vt:lpwstr>
  </property>
  <property fmtid="{D5CDD505-2E9C-101B-9397-08002B2CF9AE}" pid="3" name="TitusCorpClassification">
    <vt:lpwstr>Not Applicable</vt:lpwstr>
  </property>
  <property fmtid="{D5CDD505-2E9C-101B-9397-08002B2CF9AE}" pid="4" name="ContentTypeId">
    <vt:lpwstr>0x010100399BA38AD08F784590D6C011ACBD2ECD</vt:lpwstr>
  </property>
</Properties>
</file>